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56" w:rsidRPr="00457BEE" w:rsidRDefault="001E7056" w:rsidP="00457BEE">
      <w:pPr>
        <w:spacing w:line="240" w:lineRule="auto"/>
        <w:jc w:val="center"/>
        <w:rPr>
          <w:b/>
          <w:sz w:val="24"/>
          <w:szCs w:val="24"/>
        </w:rPr>
      </w:pPr>
      <w:r w:rsidRPr="00457BEE">
        <w:rPr>
          <w:b/>
          <w:sz w:val="24"/>
          <w:szCs w:val="24"/>
        </w:rPr>
        <w:t>ТЕСТ</w:t>
      </w:r>
    </w:p>
    <w:p w:rsidR="001E7056" w:rsidRPr="00457BEE" w:rsidRDefault="001E7056" w:rsidP="00457BEE">
      <w:pPr>
        <w:spacing w:line="240" w:lineRule="auto"/>
        <w:jc w:val="center"/>
        <w:rPr>
          <w:b/>
          <w:sz w:val="24"/>
          <w:szCs w:val="24"/>
        </w:rPr>
      </w:pPr>
      <w:r w:rsidRPr="00457BEE">
        <w:rPr>
          <w:b/>
          <w:sz w:val="24"/>
          <w:szCs w:val="24"/>
        </w:rPr>
        <w:t>по</w:t>
      </w:r>
    </w:p>
    <w:p w:rsidR="001E7056" w:rsidRPr="00CB4B0B" w:rsidRDefault="00BE4FC7" w:rsidP="00457BEE">
      <w:pPr>
        <w:spacing w:line="240" w:lineRule="auto"/>
        <w:jc w:val="center"/>
        <w:rPr>
          <w:b/>
        </w:rPr>
      </w:pPr>
      <w:r w:rsidRPr="00457BEE">
        <w:rPr>
          <w:b/>
          <w:sz w:val="24"/>
          <w:szCs w:val="24"/>
        </w:rPr>
        <w:t xml:space="preserve">Оценки на здравни технологии </w:t>
      </w:r>
      <w:r w:rsidRPr="00457BEE">
        <w:rPr>
          <w:b/>
          <w:sz w:val="24"/>
          <w:szCs w:val="24"/>
          <w:lang w:val="en-US"/>
        </w:rPr>
        <w:t>(</w:t>
      </w:r>
      <w:r w:rsidRPr="00457BEE">
        <w:rPr>
          <w:b/>
          <w:sz w:val="24"/>
          <w:szCs w:val="24"/>
        </w:rPr>
        <w:t>ОЗТ</w:t>
      </w:r>
      <w:r w:rsidRPr="00457BEE">
        <w:rPr>
          <w:b/>
          <w:sz w:val="24"/>
          <w:szCs w:val="24"/>
          <w:lang w:val="en-US"/>
        </w:rPr>
        <w:t>)</w:t>
      </w:r>
    </w:p>
    <w:p w:rsidR="001E7056" w:rsidRPr="00CB4B0B" w:rsidRDefault="001E7056" w:rsidP="00457BEE">
      <w:pPr>
        <w:spacing w:line="240" w:lineRule="auto"/>
        <w:jc w:val="both"/>
      </w:pPr>
    </w:p>
    <w:p w:rsidR="001E7056" w:rsidRPr="00CB4B0B" w:rsidRDefault="001E7056" w:rsidP="00457BEE">
      <w:pPr>
        <w:spacing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line="240" w:lineRule="auto"/>
        <w:jc w:val="both"/>
      </w:pPr>
      <w:r w:rsidRPr="00CB4B0B">
        <w:t xml:space="preserve">Основна цел на </w:t>
      </w:r>
      <w:r w:rsidR="00BE4FC7" w:rsidRPr="00CB4B0B">
        <w:t>ОЗТ</w:t>
      </w:r>
      <w:r w:rsidRPr="00CB4B0B">
        <w:t xml:space="preserve"> е: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Измерване на резултатите от здравните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Измерване на разходите за здравни програми</w:t>
      </w:r>
    </w:p>
    <w:p w:rsidR="001E7056" w:rsidRPr="00D638CF" w:rsidRDefault="00BD7533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>
        <w:rPr>
          <w:b/>
        </w:rPr>
        <w:t xml:space="preserve">в) </w:t>
      </w:r>
      <w:r w:rsidR="001E7056" w:rsidRPr="00CB4B0B">
        <w:rPr>
          <w:b/>
        </w:rPr>
        <w:t>Представяне на съотношението разходи/резултати за различните здравни алтернативи.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Измерване на терапевтичната ефективност на здравните програми.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Анализа разход/резултат</w:t>
      </w:r>
      <w:r w:rsidRPr="00CB4B0B">
        <w:rPr>
          <w:lang w:val="en-US"/>
        </w:rPr>
        <w:t xml:space="preserve"> </w:t>
      </w:r>
      <w:r w:rsidRPr="00CB4B0B">
        <w:t xml:space="preserve">(СЕА)  представлява 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Сравнение на разходите в парични единици с резултати в еднакви непарични единици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Сравнение на разходите на две алтернативи, които водят до еднакви здравни резултати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Сравнение на разходите в парични единици с резултати, измерени в полезност за пациента.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Сравнение на разходи и резултати, изразени в парични единици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lang w:val="en-US"/>
        </w:rPr>
      </w:pPr>
      <w:r w:rsidRPr="00CB4B0B">
        <w:t>Анализа разход/полза (</w:t>
      </w:r>
      <w:r w:rsidRPr="00CB4B0B">
        <w:rPr>
          <w:lang w:val="en-US"/>
        </w:rPr>
        <w:t>CBA</w:t>
      </w:r>
      <w:r w:rsidRPr="00CB4B0B">
        <w:t>)</w:t>
      </w:r>
      <w:r w:rsidRPr="00CB4B0B">
        <w:rPr>
          <w:lang w:val="en-US"/>
        </w:rPr>
        <w:t xml:space="preserve"> </w:t>
      </w:r>
      <w:r w:rsidRPr="00CB4B0B">
        <w:t>представлява: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Сравнение на разходите в парични единици с резултати в еднакви непарични единици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Сравнение на разходите на две алтернативи, които водят до еднакви здравни резултати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Сравнение на разходите в парични единици с резултати, измерени в полезност за пациента.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Сравнение на разходи и резултати, изразени в парични единици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color w:val="FF0000"/>
        </w:rPr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lang w:val="en-US"/>
        </w:rPr>
      </w:pPr>
      <w:r w:rsidRPr="00CB4B0B">
        <w:t xml:space="preserve">Задачите на </w:t>
      </w:r>
      <w:r w:rsidR="00BE4FC7" w:rsidRPr="00CB4B0B">
        <w:t>ОЗТ</w:t>
      </w:r>
      <w:r w:rsidRPr="00CB4B0B">
        <w:t xml:space="preserve"> включват: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Препоръка за избор между алтернативни здравни програми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Оценка на безопасността в клинични изследвания от типа „продукт-плацебо”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Статистическа проверка на хипотези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Експериментални епидемиологични изследвания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Когато </w:t>
      </w:r>
      <w:r w:rsidR="00BE4FC7" w:rsidRPr="00CB4B0B">
        <w:t>ОЗТ</w:t>
      </w:r>
      <w:r w:rsidRPr="00CB4B0B">
        <w:t xml:space="preserve"> е възприела обществената перспектива, се отчитат: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Преки и косвени здравни разходи и ползи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Само преки здравни разходи и ползи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 Разходи за загубена производителност</w:t>
      </w:r>
      <w:r w:rsidRPr="00CB4B0B">
        <w:rPr>
          <w:b/>
          <w:lang w:val="en-US"/>
        </w:rPr>
        <w:t xml:space="preserve"> </w:t>
      </w:r>
      <w:r w:rsidRPr="00CB4B0B">
        <w:rPr>
          <w:b/>
        </w:rPr>
        <w:t>и преки и косвени здравни разходи и ползи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Само преки здравни ползи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Оценката на здравните разходи и ползи за бъдеще време изисква: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 Трансфериране на разходите и ползите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Дисконтиране на разходите и ползите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lastRenderedPageBreak/>
        <w:t>в) Адаптиране на разходите и ползите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Приемане на настоящите стойности за разходи и ползи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 Анализ минимализиране на разходите измерва: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Разлика между разходите на две здравни програми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Разлика между съотношението на разходи и резултати на две здравни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Разлика между съотношение на разходи и желано здравно състояние на две здравни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Разлика между съотношението на разходи и желание за плащане на две здравни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Анализ разход/полезност измерва: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Разлика между разходите на две здравни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Разлика между съотношението на разходи и резултати на две здравни програми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Разлика между съотношение на разходи и желано здравно състояние на две здравни програми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Разлика между съотношението на разходи и желание за плащане на две здравни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</w:rPr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color w:val="FF0000"/>
        </w:rPr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Постоянни здравни разходи са: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 Разходи за лекарствени продукти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Разходи за храна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Разходи за трудови възнаграждения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Разходи за медицински консуматив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Режийните разходи трябва да се: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Разпределят към разходни центрове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Игнорират при изчисляването на преките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Изключват при изчисляването на средните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Трансферират от други страни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Косвените здравни разходи представляват: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Режийни разходи на лечебното заведение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Разходи за загубена производителност през болничният престой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Разходи за трудови възнаграждения на здравните професионалисти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Инвестиционни разходи за медицинска апаратура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Резултатите при анализа разход/</w:t>
      </w:r>
      <w:r w:rsidR="00615083" w:rsidRPr="00CB4B0B">
        <w:t>полза</w:t>
      </w:r>
      <w:r w:rsidRPr="00CB4B0B">
        <w:t xml:space="preserve"> се измерват в: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Парична стойност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Специфични биологични показатели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Удължена продължителност на живота в добро здраве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Стойност на намалените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Резултатите при анализа за минимализиране на разходите: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Не се измерват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б) Измерват се в  </w:t>
      </w:r>
      <w:r w:rsidRPr="00CB4B0B">
        <w:rPr>
          <w:lang w:val="en-US"/>
        </w:rPr>
        <w:t>QALY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Измерват се в желание за плащане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Измерват се в намалени стойности на гликиран хемоглобин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Крайни здравни резултати от една здравна програма представляват: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Понижение нивото на серумният холестерол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Понижение нивото на систолното налягане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Понижение нивото на гликирания хемоглобин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Понижение нивото на смъртността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Междинни здравни резултати могат да бъдат приемливи при следният икономически анализ: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Разход/полза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Разход/полезност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Разход/резултат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Минимализиране на разходите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 </w:t>
      </w: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Най-висока степен на неопределеност на резутатите на популационно ниво има анализа: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Раз</w:t>
      </w:r>
      <w:r w:rsidR="00615083" w:rsidRPr="00CB4B0B">
        <w:t>ход</w:t>
      </w:r>
      <w:r w:rsidRPr="00CB4B0B">
        <w:t>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Минимализиране на разходите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Разход/полезност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Разход/резултат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Високата степен на неопределеност на резултатите изисква: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Дисконтиране на разходите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Анализ на чувствителността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Амортизация на капиталовите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Определяне на анюитетен фактор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Анализа на чувствителността използва: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Епидемиологични методи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Социологически методи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Икономически методи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Статистически методи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За оценка на резултатите от здравна програма на популационно ниво най-подходящ е следният вид анализ: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Минимализиране на разходите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Разход/резултат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lastRenderedPageBreak/>
        <w:t>в) Разход/полезност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Разход/полза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Анализ разход/полезност не се използва когато: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Съществуват данни за междинни резултати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Съществуват данни за намаление на заболяемостта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Съществуват данни да намаление на смъртността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 г</w:t>
      </w:r>
      <w:r w:rsidR="00CB4B0B">
        <w:rPr>
          <w:lang w:val="en-US"/>
        </w:rPr>
        <w:t>)</w:t>
      </w:r>
      <w:r w:rsidRPr="00CB4B0B">
        <w:t xml:space="preserve"> Съществуват данни за удължаване на продължителността на живота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Резултат, обединяващ качествени и количествени ползи се постига чрез икономически анализ: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Минимализиране на разходите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Разход/резултат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Разход/полезност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Разход/полза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</w:rPr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Здравните резултати могат да бъдат оценени в парична стойност чрез: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Метод на човешкия капитал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Метод за времева размяна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Метод на стандартната лотария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Визуална аналогова скала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Метода на човешкия капитал при анализа разход/полза измерва: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 Максималната готовност за плащане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Спестените здравни ресурси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Стойността на бъдещите трудови доходи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Съотношението на здравните рискове и трудово възнаграждение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</w:rPr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Добрата практика при събиране на данни за </w:t>
      </w:r>
      <w:r w:rsidR="007D30B0" w:rsidRPr="00CB4B0B">
        <w:t xml:space="preserve">ОЗТ </w:t>
      </w:r>
      <w:r w:rsidRPr="00CB4B0B">
        <w:t>изисква: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Определяне на здравна перспектива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Оценяване на вътрешната и външната валидност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 Оценяване на разходите за загубена трудоспособност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Трансфериране на данни от други страни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lang w:val="en-US"/>
        </w:rPr>
      </w:pPr>
      <w:r w:rsidRPr="00CB4B0B">
        <w:t>Рандомизираните контролирани клинични проучвания се характеризират с: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Ниска вътрешна и висока външна валидност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Висока вътрешна и висока външна валидност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Висока вътрешна и ниска външна валидност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Ниска вътрешна и ниска външна валидност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За установяване на връзка между междинни и крайни здравни резултати се използват: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Социологически анкетни проучвания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lastRenderedPageBreak/>
        <w:t>б) Статистически подходи за проверка на хипотези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Методи за оценяване на разходите за производителност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Модели, базирани на съществуващи епидемиологични данни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Данните от проведеното контролирано изпитване се отличават от данните от рутинната клинична практика с: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По-висока вътрешна валидност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По-висока външна валидност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По-висока вътрешна и външна валидност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не се отличават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Формата за оценяване на резултатите от </w:t>
      </w:r>
      <w:r w:rsidR="004071F8" w:rsidRPr="00CB4B0B">
        <w:t>ОЗТ</w:t>
      </w:r>
      <w:r w:rsidRPr="00CB4B0B">
        <w:t xml:space="preserve"> анализи включва: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Диференциален анализ на разходите и резултатите от терапевтичните алтернативи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Анализ на избраната перспектива на икономическата оценка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Анализ на достъпността до здравната програма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Анализ на бюджетното въздействие при заплащане с публични средства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Обективността на </w:t>
      </w:r>
      <w:r w:rsidR="004071F8" w:rsidRPr="00CB4B0B">
        <w:t xml:space="preserve">ОЗТ </w:t>
      </w:r>
      <w:r w:rsidRPr="00CB4B0B">
        <w:t xml:space="preserve"> зависи от: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Избраният времеви хоризонт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Перспективата на икономическата оценка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Оценяването на разходите за производителност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Обективното и изчерпателно представяне на терапевтичните алтернативи.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Критичният анализ на методи за </w:t>
      </w:r>
      <w:r w:rsidR="004071F8" w:rsidRPr="00CB4B0B">
        <w:t>ОЗТ</w:t>
      </w:r>
      <w:r w:rsidRPr="00CB4B0B">
        <w:t xml:space="preserve"> не включва: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Доказателства за ефективността на здравната програма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Диференциален анализ на разходите и резултатите на терапевтичните алтернативи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Анализ на избраната перспектива за икономическа оценка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Адаптиране на данните при трансфера им от други страни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ind w:hanging="436"/>
        <w:jc w:val="both"/>
      </w:pPr>
      <w:r w:rsidRPr="00CB4B0B">
        <w:t>61. Избора на обществена перспектива при извършването на икономически анализ изисква: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Оценяване само на преки здравни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Оценяване на преки и косвени здравни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Оценяване на средни и пределни здравни разходи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Оценяване на здравните разходи и разходите за загубена производителност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2"/>
        </w:numPr>
        <w:spacing w:before="240" w:line="240" w:lineRule="auto"/>
        <w:jc w:val="both"/>
      </w:pPr>
      <w:r w:rsidRPr="00CB4B0B">
        <w:t xml:space="preserve">Експертно мнение в </w:t>
      </w:r>
      <w:r w:rsidR="004071F8" w:rsidRPr="00CB4B0B">
        <w:t xml:space="preserve">ОЗТ </w:t>
      </w:r>
      <w:r w:rsidRPr="00CB4B0B">
        <w:t xml:space="preserve"> може да се използва за 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Определяне на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Определяне на терапевтични резултати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Определяне на желанието за плащане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Определяне на вторични параметри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color w:val="FF0000"/>
        </w:rPr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2"/>
        </w:numPr>
        <w:spacing w:before="240" w:line="240" w:lineRule="auto"/>
        <w:jc w:val="both"/>
      </w:pPr>
      <w:r w:rsidRPr="00CB4B0B">
        <w:t>При сравнителен фармакоикономически анализ на две лекарствени терапии за намаляване на серумния холестерол е подходящо да се използва: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lastRenderedPageBreak/>
        <w:t>а) Анализ на разходите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Анализ разход/резултат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Анализ разход/полезност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Анализ разход/полза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 xml:space="preserve">Класификацията на изискванията за данни в </w:t>
      </w:r>
      <w:r w:rsidR="00A719DC" w:rsidRPr="00CB4B0B">
        <w:t>ОЗТ</w:t>
      </w:r>
      <w:r w:rsidRPr="00CB4B0B">
        <w:t xml:space="preserve"> е важна за 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Определяне на гледната точка на икономическата оценка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Анализа на чувствителността на неопределените параметри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Определяне на терапевтичните насоки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Прозрачност на взетите решения, базирани на икономически оценки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 xml:space="preserve">Задължително изискване към представянето на резултатите от </w:t>
      </w:r>
      <w:r w:rsidR="00A719DC" w:rsidRPr="00CB4B0B">
        <w:t xml:space="preserve">ОЗТ </w:t>
      </w:r>
      <w:r w:rsidRPr="00CB4B0B">
        <w:t xml:space="preserve"> трябва да бъде: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Представяне на критериите за подбор на вторични данни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Представяне на данни за желанието за плащане от локалното население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Представяне  на данни от директно рандомизирано клинично изпитване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Представяне  на данни за 20-годишен времеви хоризонт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>Кое не е критерии за вземане на решение за реимбурсиране на един лекарствен продукт: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Наличие на лекарствена алтернатива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Икономическа ефективност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Терапевтична полза и добавена стойност за пациента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Наличие на патентна защита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>Основен недостатък на съвременните фармакоикономически оценки е: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Избора на здравна перспектива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Липсата на оценка на вредните лекарствени взаимодействия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Избора на сравнителна лекарствена алтернатива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Липсата на оценка на разходите за производителност  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>Целта  на здравната перспектива в една икономическа оценка най-често е: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Краткосрочно намаляване на разходите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Дългосрочно намаляване на заболяемостта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Остойностяване на разходите за загубена производителност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Измерване на желанието за плащане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Термина „Разходна ефективност” се отнася до измерване на съотношението: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Разход/полза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Разход/резултат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Разход/полезност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Риск/полза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 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Икономическите оценки в сферата на социалното здравно осигуряване трябва да отчитат: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Размера на пропорционалните вноски на здравния риск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lastRenderedPageBreak/>
        <w:t>б) Селекцията на здравния риск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Кръстосано субсидиране от богати към бедни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Рисковият профил на осигурените лица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 xml:space="preserve">Разходите за загубена производителност при здравната перспектива на </w:t>
      </w:r>
      <w:r w:rsidR="00FE1978" w:rsidRPr="00CB4B0B">
        <w:t>ОЗТ</w:t>
      </w:r>
      <w:r w:rsidRPr="00CB4B0B">
        <w:t xml:space="preserve"> се изчисляват чрез: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Метод на човешкия капитал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Метод на откритите предпочитания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Метод за оценка на вероятните разходи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Не се изчисляват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</w:rPr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Разходите в анализа минимализиране на разходите се измерват в: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а) </w:t>
      </w:r>
      <w:r w:rsidRPr="00CB4B0B">
        <w:rPr>
          <w:lang w:val="en-US"/>
        </w:rPr>
        <w:t>QALY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Парична стойност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Крайни здравни резултати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Не се измерват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Параметъра „желание за плащане” се използва за измерване на резултатите в следният икономически анализ: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СМА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>б)</w:t>
      </w:r>
      <w:r w:rsidRPr="00CB4B0B">
        <w:rPr>
          <w:lang w:val="en-US"/>
        </w:rPr>
        <w:t xml:space="preserve"> CUA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>в)</w:t>
      </w:r>
      <w:r w:rsidRPr="00CB4B0B">
        <w:rPr>
          <w:lang w:val="en-US"/>
        </w:rPr>
        <w:t xml:space="preserve"> CEA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г) </w:t>
      </w:r>
      <w:r w:rsidRPr="00CB4B0B">
        <w:rPr>
          <w:b/>
          <w:lang w:val="en-US"/>
        </w:rPr>
        <w:t>CBA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Измерване на съотношението риск/полза в здравните анализи изисква: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Оценка на съотношението на терапевтична ефикасност и безопасност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Оценка на съотношението на здравни разходи и резултати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Оценка на съотношението на здравни разходи и желание за плащане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Оценка на съотношението на здравни разходи и полезност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Променливите здравни разходи са свързани с: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Броя лекувани пациенти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Размера на получените кредити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Трудовите възнаграждения на здравните професионалисти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Нивото на компетентност на лечебното заведение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FA4D07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Заболяемостта в една популация представлява</w:t>
      </w:r>
      <w:r w:rsidR="001E7056" w:rsidRPr="00CB4B0B">
        <w:t>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а) </w:t>
      </w:r>
      <w:r w:rsidR="009B2A25" w:rsidRPr="00CB4B0B">
        <w:t>Съществуващи случаи на заболяване в определен момент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б) </w:t>
      </w:r>
      <w:r w:rsidR="009B2A25" w:rsidRPr="00CB4B0B">
        <w:rPr>
          <w:b/>
        </w:rPr>
        <w:t>Честота на поява на нови случаи на заболяване за определен период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в) </w:t>
      </w:r>
      <w:r w:rsidR="009B2A25" w:rsidRPr="00CB4B0B">
        <w:t>Честота на поява на нови случаи в определена извадка от популацията в риск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</w:rPr>
      </w:pPr>
      <w:r w:rsidRPr="00CB4B0B">
        <w:t>г)</w:t>
      </w:r>
      <w:r w:rsidRPr="00CB4B0B">
        <w:rPr>
          <w:b/>
        </w:rPr>
        <w:t xml:space="preserve"> </w:t>
      </w:r>
      <w:r w:rsidR="009B2A25" w:rsidRPr="00CB4B0B">
        <w:t>Относителният риск за възникване на заболяване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0A3187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>Етиологичната фракция се измерва като</w:t>
      </w:r>
      <w:r w:rsidR="001E7056" w:rsidRPr="00CB4B0B">
        <w:t>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а) </w:t>
      </w:r>
      <w:r w:rsidR="000A3187" w:rsidRPr="00CB4B0B">
        <w:rPr>
          <w:b/>
        </w:rPr>
        <w:t>Съотношение на рисковата разлика и кумулативната заболяемост в рисковата група, изразено в проценти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lastRenderedPageBreak/>
        <w:t xml:space="preserve">б) </w:t>
      </w:r>
      <w:r w:rsidR="000A3187" w:rsidRPr="00CB4B0B">
        <w:t>Разлика между кумулативната заболяемост в рисковата група и кумулативната заболяемост в групата на неекспонираните  лица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в) </w:t>
      </w:r>
      <w:r w:rsidR="00ED4384" w:rsidRPr="00CB4B0B">
        <w:t>Съотношение на кумулативната заболяемост в рисковата група и кумулативната заболяемост в групата на неекспонираните лица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</w:t>
      </w:r>
      <w:r w:rsidR="00ED4384" w:rsidRPr="00CB4B0B">
        <w:t xml:space="preserve">Съотношение между разликата от кумулативната заболяемост сред цялата популация и тази в групата на неекспонираните </w:t>
      </w:r>
      <w:r w:rsidR="00707F7A" w:rsidRPr="00CB4B0B">
        <w:t>лица спрямо кумулативната заболяемост в рисковата група, изразено в проценти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17426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>Относителният риск се измерва като: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</w:rPr>
      </w:pPr>
      <w:r w:rsidRPr="00CB4B0B">
        <w:t>а)</w:t>
      </w:r>
      <w:r w:rsidRPr="00CB4B0B">
        <w:rPr>
          <w:b/>
        </w:rPr>
        <w:t xml:space="preserve"> </w:t>
      </w:r>
      <w:r w:rsidR="00117426" w:rsidRPr="00CB4B0B">
        <w:t>Съотношение на рисковата разлика и кумулативната заболяемост в рисковата група, изразено в проценти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б) </w:t>
      </w:r>
      <w:r w:rsidR="00015ADD" w:rsidRPr="00CB4B0B">
        <w:t>Разлика между кумулативната заболяемост в рисковата група и кумулативната заболяемост в групата на неекспонираните  лица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в) </w:t>
      </w:r>
      <w:r w:rsidR="00015ADD" w:rsidRPr="00CB4B0B">
        <w:rPr>
          <w:b/>
        </w:rPr>
        <w:t>Съотношение на кумулативната заболяемост в рисковата група и кумулативната заболяемост в групата на неекспонираните лица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</w:t>
      </w:r>
      <w:r w:rsidR="00015ADD" w:rsidRPr="00CB4B0B">
        <w:t>Съотношение между разликата от кумулативната заболяемост сред цялата популация и тази в групата на неекспонираните лица спрямо кумулативната заболяемост в рисковата група, изразено в проценти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015ADD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Аналитичните епидемиологични проучвания включват</w:t>
      </w:r>
      <w:r w:rsidR="001E7056" w:rsidRPr="00CB4B0B">
        <w:t>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а) </w:t>
      </w:r>
      <w:r w:rsidR="00015ADD" w:rsidRPr="00CB4B0B">
        <w:t>Рандомизирани клинични изпитвания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б) </w:t>
      </w:r>
      <w:r w:rsidR="00015ADD" w:rsidRPr="00CB4B0B">
        <w:rPr>
          <w:b/>
        </w:rPr>
        <w:t>Проучвания на причинни зависимости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в) </w:t>
      </w:r>
      <w:r w:rsidR="00015ADD" w:rsidRPr="00CB4B0B">
        <w:t>Полеви експериментални изпитвания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</w:t>
      </w:r>
      <w:r w:rsidR="00015ADD" w:rsidRPr="00CB4B0B">
        <w:t>Популационни интервенционални изпитвания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F32371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Методите за изучаване на причинни зависимости включват</w:t>
      </w:r>
      <w:r w:rsidR="001E7056" w:rsidRPr="00CB4B0B">
        <w:t>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а) </w:t>
      </w:r>
      <w:r w:rsidR="00F32371" w:rsidRPr="00CB4B0B">
        <w:t>Определяне на максималната стохастична грешка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б) </w:t>
      </w:r>
      <w:r w:rsidR="00F32371" w:rsidRPr="00CB4B0B">
        <w:rPr>
          <w:b/>
        </w:rPr>
        <w:t>Корелационен анализ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в) </w:t>
      </w:r>
      <w:r w:rsidR="00F32371" w:rsidRPr="00CB4B0B">
        <w:t xml:space="preserve">Гаранционен </w:t>
      </w:r>
      <w:r w:rsidR="00F32371" w:rsidRPr="00CB4B0B">
        <w:rPr>
          <w:lang w:val="en-US"/>
        </w:rPr>
        <w:t>(</w:t>
      </w:r>
      <w:r w:rsidR="00F32371" w:rsidRPr="00CB4B0B">
        <w:t>доверителен</w:t>
      </w:r>
      <w:r w:rsidR="00F32371" w:rsidRPr="00CB4B0B">
        <w:rPr>
          <w:lang w:val="en-US"/>
        </w:rPr>
        <w:t>)</w:t>
      </w:r>
      <w:r w:rsidR="00F32371" w:rsidRPr="00CB4B0B">
        <w:t xml:space="preserve"> коефициент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</w:t>
      </w:r>
      <w:r w:rsidR="00F32371" w:rsidRPr="00CB4B0B">
        <w:t>Стандартно отклонение на средната величина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B94EA6" w:rsidP="00457BEE">
      <w:pPr>
        <w:pStyle w:val="ListParagraph"/>
        <w:numPr>
          <w:ilvl w:val="0"/>
          <w:numId w:val="3"/>
        </w:numPr>
        <w:spacing w:before="240" w:line="240" w:lineRule="auto"/>
        <w:ind w:hanging="436"/>
        <w:jc w:val="both"/>
      </w:pPr>
      <w:r w:rsidRPr="00CB4B0B">
        <w:t>Стандартната грешка на средната величина се изчислява като</w:t>
      </w:r>
      <w:r w:rsidR="001E7056" w:rsidRPr="00CB4B0B">
        <w:t>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а) </w:t>
      </w:r>
      <w:r w:rsidR="00B94EA6" w:rsidRPr="00CB4B0B">
        <w:rPr>
          <w:b/>
        </w:rPr>
        <w:t>Съотношение на стандартното отклонение на средната величина и броя случаи в извадката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б) </w:t>
      </w:r>
      <w:r w:rsidR="00B94EA6" w:rsidRPr="00CB4B0B">
        <w:t xml:space="preserve">Произведение на стандартната грешка на средната величина и критерия на </w:t>
      </w:r>
      <w:r w:rsidR="00B94EA6" w:rsidRPr="00CB4B0B">
        <w:rPr>
          <w:lang w:val="en-US"/>
        </w:rPr>
        <w:t>Student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в) </w:t>
      </w:r>
      <w:r w:rsidR="00B94EA6" w:rsidRPr="00CB4B0B">
        <w:t>Интервал обхващащ стойностите от средната величина минус максимална стохастична грешка до средната величина плюс максималната стохастична грешка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</w:rPr>
      </w:pPr>
      <w:r w:rsidRPr="00CB4B0B">
        <w:t>г)</w:t>
      </w:r>
      <w:r w:rsidRPr="00CB4B0B">
        <w:rPr>
          <w:b/>
        </w:rPr>
        <w:t xml:space="preserve"> </w:t>
      </w:r>
      <w:r w:rsidR="00B94EA6" w:rsidRPr="00CB4B0B">
        <w:t xml:space="preserve">Произведение от квадратите на критерия на </w:t>
      </w:r>
      <w:r w:rsidR="00B94EA6" w:rsidRPr="00CB4B0B">
        <w:rPr>
          <w:lang w:val="en-US"/>
        </w:rPr>
        <w:t xml:space="preserve">Student </w:t>
      </w:r>
      <w:r w:rsidR="00B94EA6" w:rsidRPr="00CB4B0B">
        <w:t>и стандартното отклонение, разделено на квадрата на максималната стохастична грешка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B94EA6" w:rsidRPr="00CB4B0B" w:rsidRDefault="00B94EA6" w:rsidP="00457BEE">
      <w:pPr>
        <w:pStyle w:val="ListParagraph"/>
        <w:spacing w:before="240" w:line="240" w:lineRule="auto"/>
        <w:jc w:val="both"/>
      </w:pPr>
    </w:p>
    <w:p w:rsidR="00B94EA6" w:rsidRPr="00CB4B0B" w:rsidRDefault="001E7056" w:rsidP="00457BEE">
      <w:pPr>
        <w:pStyle w:val="ListParagraph"/>
        <w:numPr>
          <w:ilvl w:val="0"/>
          <w:numId w:val="3"/>
        </w:numPr>
        <w:tabs>
          <w:tab w:val="left" w:pos="709"/>
        </w:tabs>
        <w:spacing w:before="240" w:line="240" w:lineRule="auto"/>
        <w:ind w:hanging="436"/>
        <w:jc w:val="both"/>
      </w:pPr>
      <w:r w:rsidRPr="00CB4B0B">
        <w:t xml:space="preserve"> </w:t>
      </w:r>
      <w:r w:rsidR="00B94EA6" w:rsidRPr="00CB4B0B">
        <w:t>Размера на извадката при количествени променливи се изчислява като:</w:t>
      </w:r>
    </w:p>
    <w:p w:rsidR="00B94EA6" w:rsidRPr="00CB4B0B" w:rsidRDefault="00B94EA6" w:rsidP="00457BEE">
      <w:pPr>
        <w:pStyle w:val="ListParagraph"/>
        <w:spacing w:before="240" w:line="240" w:lineRule="auto"/>
        <w:jc w:val="both"/>
      </w:pPr>
      <w:r w:rsidRPr="00CB4B0B">
        <w:t>а) Съотношение на стандартното отклонение на средната величина и броя случаи в извадката</w:t>
      </w:r>
    </w:p>
    <w:p w:rsidR="00B94EA6" w:rsidRPr="00CB4B0B" w:rsidRDefault="00B94EA6" w:rsidP="00457BEE">
      <w:pPr>
        <w:pStyle w:val="ListParagraph"/>
        <w:spacing w:before="240" w:line="240" w:lineRule="auto"/>
        <w:jc w:val="both"/>
      </w:pPr>
      <w:r w:rsidRPr="00CB4B0B">
        <w:t xml:space="preserve">б) Произведение на стандартната грешка на средната величина и критерия на </w:t>
      </w:r>
      <w:r w:rsidRPr="00CB4B0B">
        <w:rPr>
          <w:lang w:val="en-US"/>
        </w:rPr>
        <w:t>Student</w:t>
      </w:r>
    </w:p>
    <w:p w:rsidR="00B94EA6" w:rsidRPr="00CB4B0B" w:rsidRDefault="00B94EA6" w:rsidP="00457BEE">
      <w:pPr>
        <w:pStyle w:val="ListParagraph"/>
        <w:spacing w:before="240" w:line="240" w:lineRule="auto"/>
        <w:jc w:val="both"/>
      </w:pPr>
      <w:r w:rsidRPr="00CB4B0B">
        <w:t>в) Интервал обхващащ стойностите от средната величина минус максимална стохастична грешка до средната величина плюс максималната стохастична грешка</w:t>
      </w:r>
    </w:p>
    <w:p w:rsidR="001E7056" w:rsidRPr="00D638CF" w:rsidRDefault="00B94EA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lastRenderedPageBreak/>
        <w:t xml:space="preserve">г) Произведение от квадратите на критерия на </w:t>
      </w:r>
      <w:r w:rsidRPr="00CB4B0B">
        <w:rPr>
          <w:b/>
          <w:lang w:val="en-US"/>
        </w:rPr>
        <w:t xml:space="preserve">Student </w:t>
      </w:r>
      <w:r w:rsidRPr="00CB4B0B">
        <w:rPr>
          <w:b/>
        </w:rPr>
        <w:t>и стандартното отклонение, разделено на квадрата на максималната стохастична грешка</w:t>
      </w:r>
      <w:r w:rsidR="00D638CF">
        <w:rPr>
          <w:b/>
          <w:lang w:val="en-US"/>
        </w:rPr>
        <w:t>*</w:t>
      </w:r>
    </w:p>
    <w:p w:rsidR="00B94EA6" w:rsidRPr="00CB4B0B" w:rsidRDefault="00B94EA6" w:rsidP="00457BEE">
      <w:pPr>
        <w:pStyle w:val="ListParagraph"/>
        <w:spacing w:before="240" w:line="240" w:lineRule="auto"/>
        <w:jc w:val="both"/>
        <w:rPr>
          <w:b/>
        </w:rPr>
      </w:pPr>
    </w:p>
    <w:p w:rsidR="003551CF" w:rsidRPr="00CB4B0B" w:rsidRDefault="003551CF" w:rsidP="00457BEE">
      <w:pPr>
        <w:pStyle w:val="ListParagraph"/>
        <w:numPr>
          <w:ilvl w:val="0"/>
          <w:numId w:val="3"/>
        </w:numPr>
        <w:tabs>
          <w:tab w:val="left" w:pos="709"/>
        </w:tabs>
        <w:spacing w:before="240" w:line="240" w:lineRule="auto"/>
        <w:ind w:hanging="436"/>
        <w:jc w:val="both"/>
      </w:pPr>
      <w:bookmarkStart w:id="0" w:name="_GoBack"/>
      <w:bookmarkEnd w:id="0"/>
      <w:r w:rsidRPr="00CB4B0B">
        <w:t>При установяване на коефициент на корелация 0,31</w:t>
      </w:r>
      <w:r w:rsidR="00120C84" w:rsidRPr="00CB4B0B">
        <w:t>≤</w:t>
      </w:r>
      <w:r w:rsidR="00120C84" w:rsidRPr="00CB4B0B">
        <w:rPr>
          <w:lang w:val="en-US"/>
        </w:rPr>
        <w:t>R</w:t>
      </w:r>
      <w:r w:rsidR="00CE30D7" w:rsidRPr="00CB4B0B">
        <w:t>≤</w:t>
      </w:r>
      <w:r w:rsidR="00120C84" w:rsidRPr="00CB4B0B">
        <w:t>0,50, зависимостта е</w:t>
      </w:r>
      <w:r w:rsidRPr="00CB4B0B">
        <w:t>:</w:t>
      </w:r>
    </w:p>
    <w:p w:rsidR="003551CF" w:rsidRPr="00CB4B0B" w:rsidRDefault="003551CF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а) </w:t>
      </w:r>
      <w:r w:rsidR="00120C84" w:rsidRPr="00CB4B0B">
        <w:t>Слаба</w:t>
      </w:r>
    </w:p>
    <w:p w:rsidR="003551CF" w:rsidRPr="00D638CF" w:rsidRDefault="003551CF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б) </w:t>
      </w:r>
      <w:r w:rsidR="00120C84" w:rsidRPr="00CB4B0B">
        <w:rPr>
          <w:b/>
        </w:rPr>
        <w:t>Умерена</w:t>
      </w:r>
      <w:r w:rsidR="00D638CF">
        <w:rPr>
          <w:b/>
          <w:lang w:val="en-US"/>
        </w:rPr>
        <w:t>*</w:t>
      </w:r>
    </w:p>
    <w:p w:rsidR="003551CF" w:rsidRPr="00CB4B0B" w:rsidRDefault="003551CF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в) </w:t>
      </w:r>
      <w:r w:rsidR="00120C84" w:rsidRPr="00CB4B0B">
        <w:t>Значителна</w:t>
      </w:r>
    </w:p>
    <w:p w:rsidR="003551CF" w:rsidRPr="00CB4B0B" w:rsidRDefault="003551CF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г) </w:t>
      </w:r>
      <w:r w:rsidR="00120C84" w:rsidRPr="00CB4B0B">
        <w:t>Голяма</w:t>
      </w:r>
    </w:p>
    <w:p w:rsidR="003551CF" w:rsidRPr="00CB4B0B" w:rsidRDefault="003551CF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B94EA6" w:rsidRPr="00CB4B0B" w:rsidRDefault="00B94EA6" w:rsidP="00457BEE">
      <w:pPr>
        <w:pStyle w:val="ListParagraph"/>
        <w:spacing w:before="240" w:line="240" w:lineRule="auto"/>
        <w:jc w:val="both"/>
        <w:rPr>
          <w:b/>
        </w:rPr>
      </w:pPr>
    </w:p>
    <w:sectPr w:rsidR="00B94EA6" w:rsidRPr="00CB4B0B" w:rsidSect="00F07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C4" w:rsidRDefault="009F7CC4" w:rsidP="00BD4872">
      <w:pPr>
        <w:spacing w:line="240" w:lineRule="auto"/>
      </w:pPr>
      <w:r>
        <w:separator/>
      </w:r>
    </w:p>
  </w:endnote>
  <w:endnote w:type="continuationSeparator" w:id="0">
    <w:p w:rsidR="009F7CC4" w:rsidRDefault="009F7CC4" w:rsidP="00BD4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2" w:rsidRDefault="00BD4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753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4872" w:rsidRDefault="00BD48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B9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D4872" w:rsidRDefault="00BD48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2" w:rsidRDefault="00BD4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C4" w:rsidRDefault="009F7CC4" w:rsidP="00BD4872">
      <w:pPr>
        <w:spacing w:line="240" w:lineRule="auto"/>
      </w:pPr>
      <w:r>
        <w:separator/>
      </w:r>
    </w:p>
  </w:footnote>
  <w:footnote w:type="continuationSeparator" w:id="0">
    <w:p w:rsidR="009F7CC4" w:rsidRDefault="009F7CC4" w:rsidP="00BD4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2" w:rsidRDefault="00BD4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2" w:rsidRDefault="00BD48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2" w:rsidRDefault="00BD4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CBC"/>
    <w:multiLevelType w:val="hybridMultilevel"/>
    <w:tmpl w:val="56AEC34E"/>
    <w:lvl w:ilvl="0" w:tplc="0402000F">
      <w:start w:val="6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5E4539"/>
    <w:multiLevelType w:val="hybridMultilevel"/>
    <w:tmpl w:val="82CE854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FB7933"/>
    <w:multiLevelType w:val="hybridMultilevel"/>
    <w:tmpl w:val="0ACE0514"/>
    <w:lvl w:ilvl="0" w:tplc="AC12DF46">
      <w:start w:val="100"/>
      <w:numFmt w:val="decimal"/>
      <w:lvlText w:val="%1."/>
      <w:lvlJc w:val="left"/>
      <w:pPr>
        <w:ind w:left="1104" w:hanging="38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F5524C8"/>
    <w:multiLevelType w:val="hybridMultilevel"/>
    <w:tmpl w:val="85AA717A"/>
    <w:lvl w:ilvl="0" w:tplc="0402000F">
      <w:start w:val="6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AD"/>
    <w:rsid w:val="00015ADD"/>
    <w:rsid w:val="00021EED"/>
    <w:rsid w:val="00061063"/>
    <w:rsid w:val="000927DA"/>
    <w:rsid w:val="00092C86"/>
    <w:rsid w:val="000A3187"/>
    <w:rsid w:val="00116804"/>
    <w:rsid w:val="00117426"/>
    <w:rsid w:val="00120C84"/>
    <w:rsid w:val="00131385"/>
    <w:rsid w:val="001A4E4D"/>
    <w:rsid w:val="001D0308"/>
    <w:rsid w:val="001E7056"/>
    <w:rsid w:val="001F5B68"/>
    <w:rsid w:val="00232E1D"/>
    <w:rsid w:val="002616E4"/>
    <w:rsid w:val="00300EFA"/>
    <w:rsid w:val="00301B9F"/>
    <w:rsid w:val="00305F0E"/>
    <w:rsid w:val="003533B4"/>
    <w:rsid w:val="003551CF"/>
    <w:rsid w:val="00363968"/>
    <w:rsid w:val="00383B47"/>
    <w:rsid w:val="003B175F"/>
    <w:rsid w:val="003D521F"/>
    <w:rsid w:val="003F1E2C"/>
    <w:rsid w:val="004071F8"/>
    <w:rsid w:val="00430E60"/>
    <w:rsid w:val="0044271D"/>
    <w:rsid w:val="00457BEE"/>
    <w:rsid w:val="004D6192"/>
    <w:rsid w:val="004E55F9"/>
    <w:rsid w:val="005353AD"/>
    <w:rsid w:val="005814D8"/>
    <w:rsid w:val="005A6DE9"/>
    <w:rsid w:val="00615083"/>
    <w:rsid w:val="00631C02"/>
    <w:rsid w:val="0065659C"/>
    <w:rsid w:val="00661AFF"/>
    <w:rsid w:val="00702165"/>
    <w:rsid w:val="00707F7A"/>
    <w:rsid w:val="00756C2C"/>
    <w:rsid w:val="00761003"/>
    <w:rsid w:val="00765661"/>
    <w:rsid w:val="007D30B0"/>
    <w:rsid w:val="008465D2"/>
    <w:rsid w:val="00852216"/>
    <w:rsid w:val="009343DC"/>
    <w:rsid w:val="00961312"/>
    <w:rsid w:val="00965AEF"/>
    <w:rsid w:val="009B2A25"/>
    <w:rsid w:val="009F7CC4"/>
    <w:rsid w:val="00A30765"/>
    <w:rsid w:val="00A719DC"/>
    <w:rsid w:val="00AE71E4"/>
    <w:rsid w:val="00AF2789"/>
    <w:rsid w:val="00B05662"/>
    <w:rsid w:val="00B06535"/>
    <w:rsid w:val="00B20F90"/>
    <w:rsid w:val="00B4005B"/>
    <w:rsid w:val="00B94EA6"/>
    <w:rsid w:val="00BD4872"/>
    <w:rsid w:val="00BD6B2A"/>
    <w:rsid w:val="00BD7533"/>
    <w:rsid w:val="00BE0956"/>
    <w:rsid w:val="00BE4FC7"/>
    <w:rsid w:val="00C52D60"/>
    <w:rsid w:val="00C53634"/>
    <w:rsid w:val="00CA244A"/>
    <w:rsid w:val="00CB4B0B"/>
    <w:rsid w:val="00CE30D7"/>
    <w:rsid w:val="00D03620"/>
    <w:rsid w:val="00D0439A"/>
    <w:rsid w:val="00D638CF"/>
    <w:rsid w:val="00D77665"/>
    <w:rsid w:val="00DA76F0"/>
    <w:rsid w:val="00E30E90"/>
    <w:rsid w:val="00E507BC"/>
    <w:rsid w:val="00EA24B1"/>
    <w:rsid w:val="00ED4384"/>
    <w:rsid w:val="00EE1EE5"/>
    <w:rsid w:val="00EF5021"/>
    <w:rsid w:val="00F0734C"/>
    <w:rsid w:val="00F1032A"/>
    <w:rsid w:val="00F32371"/>
    <w:rsid w:val="00F56D4C"/>
    <w:rsid w:val="00FA4D07"/>
    <w:rsid w:val="00FC671E"/>
    <w:rsid w:val="00FD582F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4C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5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8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7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48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7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4C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5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8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7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48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7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ТЕСТ</vt:lpstr>
    </vt:vector>
  </TitlesOfParts>
  <Company>Grizli777</Company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creator>CL</dc:creator>
  <cp:lastModifiedBy>PC</cp:lastModifiedBy>
  <cp:revision>3</cp:revision>
  <cp:lastPrinted>2014-07-24T09:49:00Z</cp:lastPrinted>
  <dcterms:created xsi:type="dcterms:W3CDTF">2016-09-20T13:32:00Z</dcterms:created>
  <dcterms:modified xsi:type="dcterms:W3CDTF">2016-09-20T13:54:00Z</dcterms:modified>
</cp:coreProperties>
</file>