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056" w:rsidRPr="00457BEE" w:rsidRDefault="001E7056" w:rsidP="00457BEE">
      <w:pPr>
        <w:spacing w:line="240" w:lineRule="auto"/>
        <w:jc w:val="center"/>
        <w:rPr>
          <w:b/>
          <w:sz w:val="24"/>
          <w:szCs w:val="24"/>
        </w:rPr>
      </w:pPr>
      <w:r w:rsidRPr="00457BEE">
        <w:rPr>
          <w:b/>
          <w:sz w:val="24"/>
          <w:szCs w:val="24"/>
        </w:rPr>
        <w:t>ТЕСТ</w:t>
      </w:r>
    </w:p>
    <w:p w:rsidR="001E7056" w:rsidRPr="00457BEE" w:rsidRDefault="001E7056" w:rsidP="00457BEE">
      <w:pPr>
        <w:spacing w:line="240" w:lineRule="auto"/>
        <w:jc w:val="center"/>
        <w:rPr>
          <w:b/>
          <w:sz w:val="24"/>
          <w:szCs w:val="24"/>
        </w:rPr>
      </w:pPr>
      <w:r w:rsidRPr="00457BEE">
        <w:rPr>
          <w:b/>
          <w:sz w:val="24"/>
          <w:szCs w:val="24"/>
        </w:rPr>
        <w:t>по</w:t>
      </w:r>
    </w:p>
    <w:p w:rsidR="001E7056" w:rsidRPr="00CB4B0B" w:rsidRDefault="00BE4FC7" w:rsidP="00457BEE">
      <w:pPr>
        <w:spacing w:line="240" w:lineRule="auto"/>
        <w:jc w:val="center"/>
        <w:rPr>
          <w:b/>
        </w:rPr>
      </w:pPr>
      <w:r w:rsidRPr="00457BEE">
        <w:rPr>
          <w:b/>
          <w:sz w:val="24"/>
          <w:szCs w:val="24"/>
        </w:rPr>
        <w:t xml:space="preserve">Оценки на здравни технологии </w:t>
      </w:r>
      <w:r w:rsidRPr="00457BEE">
        <w:rPr>
          <w:b/>
          <w:sz w:val="24"/>
          <w:szCs w:val="24"/>
          <w:lang w:val="en-US"/>
        </w:rPr>
        <w:t>(</w:t>
      </w:r>
      <w:r w:rsidRPr="00457BEE">
        <w:rPr>
          <w:b/>
          <w:sz w:val="24"/>
          <w:szCs w:val="24"/>
        </w:rPr>
        <w:t>ОЗТ</w:t>
      </w:r>
      <w:r w:rsidRPr="00457BEE">
        <w:rPr>
          <w:b/>
          <w:sz w:val="24"/>
          <w:szCs w:val="24"/>
          <w:lang w:val="en-US"/>
        </w:rPr>
        <w:t>)</w:t>
      </w:r>
    </w:p>
    <w:p w:rsidR="001E7056" w:rsidRPr="00CB4B0B" w:rsidRDefault="001E7056" w:rsidP="00457BEE">
      <w:pPr>
        <w:spacing w:line="240" w:lineRule="auto"/>
        <w:jc w:val="both"/>
      </w:pPr>
    </w:p>
    <w:p w:rsidR="001E7056" w:rsidRPr="00CB4B0B" w:rsidRDefault="001E7056" w:rsidP="00457BEE">
      <w:pPr>
        <w:spacing w:line="240" w:lineRule="auto"/>
        <w:jc w:val="both"/>
      </w:pPr>
    </w:p>
    <w:p w:rsidR="001E7056" w:rsidRPr="00CB4B0B" w:rsidRDefault="001E7056" w:rsidP="00457BEE">
      <w:pPr>
        <w:pStyle w:val="ListParagraph"/>
        <w:numPr>
          <w:ilvl w:val="0"/>
          <w:numId w:val="1"/>
        </w:numPr>
        <w:spacing w:before="240" w:line="240" w:lineRule="auto"/>
        <w:jc w:val="both"/>
      </w:pPr>
      <w:r w:rsidRPr="00CB4B0B">
        <w:t>Анализа за минимализиране на разходите (СМА) представлява: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а) Сравнение на разходите в парични единици с резултати в еднакви непарични единици</w:t>
      </w:r>
    </w:p>
    <w:p w:rsidR="001E7056" w:rsidRPr="00923BB9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>б) Сравнение на разходите на две алтернативи, които водят до еднакви здравни резултати</w:t>
      </w:r>
      <w:r w:rsidR="00923BB9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в) Сравнение на разходите в парични единици с резултати, измерени в полезност за пациента.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г) Сравнение на разходи и резултати, изразени в парични единици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numPr>
          <w:ilvl w:val="0"/>
          <w:numId w:val="1"/>
        </w:numPr>
        <w:spacing w:before="240" w:line="240" w:lineRule="auto"/>
        <w:jc w:val="both"/>
      </w:pPr>
      <w:r w:rsidRPr="00CB4B0B">
        <w:t>Анализа разход/полезност (</w:t>
      </w:r>
      <w:r w:rsidRPr="00CB4B0B">
        <w:rPr>
          <w:lang w:val="en-US"/>
        </w:rPr>
        <w:t>CUA</w:t>
      </w:r>
      <w:r w:rsidRPr="00CB4B0B">
        <w:t>) представлява: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а) Сравнение на разходите в парични единици с резултати в еднакви непарични единици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б) Сравнение на разходите на две алтернативи, които водят до еднакви здравни резултати</w:t>
      </w:r>
    </w:p>
    <w:p w:rsidR="001E7056" w:rsidRPr="00923BB9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>в) Сравнение на разходите в парични единици с резултати, измерени в полезност за пациента.</w:t>
      </w:r>
      <w:r w:rsidR="00923BB9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  <w:rPr>
          <w:lang w:val="en-US"/>
        </w:rPr>
      </w:pPr>
      <w:r w:rsidRPr="00CB4B0B">
        <w:t>г) Сравнение на разходи и резултати, изразени в парични единици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  <w:rPr>
          <w:lang w:val="en-US"/>
        </w:rPr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numPr>
          <w:ilvl w:val="0"/>
          <w:numId w:val="1"/>
        </w:numPr>
        <w:spacing w:before="240" w:line="240" w:lineRule="auto"/>
        <w:jc w:val="both"/>
        <w:rPr>
          <w:lang w:val="en-US"/>
        </w:rPr>
      </w:pPr>
      <w:r w:rsidRPr="00CB4B0B">
        <w:t xml:space="preserve">Задачите на </w:t>
      </w:r>
      <w:r w:rsidR="00BE4FC7" w:rsidRPr="00CB4B0B">
        <w:t>ОЗТ</w:t>
      </w:r>
      <w:r w:rsidRPr="00CB4B0B">
        <w:t xml:space="preserve"> включват:</w:t>
      </w:r>
    </w:p>
    <w:p w:rsidR="001E7056" w:rsidRPr="00923BB9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>а) Препоръка за избор между алтернативни здравни програми</w:t>
      </w:r>
      <w:r w:rsidR="00923BB9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б) Оценка на безопасността в клинични изследвания от типа „продукт-плацебо”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в) Статистическа проверка на хипотези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г) Експериментални епидемиологични изследвания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numPr>
          <w:ilvl w:val="0"/>
          <w:numId w:val="1"/>
        </w:numPr>
        <w:spacing w:before="240" w:line="240" w:lineRule="auto"/>
        <w:jc w:val="both"/>
      </w:pPr>
      <w:r w:rsidRPr="00CB4B0B">
        <w:t xml:space="preserve">Когато </w:t>
      </w:r>
      <w:r w:rsidR="00BE4FC7" w:rsidRPr="00CB4B0B">
        <w:t>ОЗТ</w:t>
      </w:r>
      <w:r w:rsidRPr="00CB4B0B">
        <w:t xml:space="preserve"> е възприела обществената перспектива, се отчитат: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а) Преки и косвени здравни разходи и ползи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б) Само преки здравни разходи и ползи</w:t>
      </w:r>
    </w:p>
    <w:p w:rsidR="001E7056" w:rsidRPr="00923BB9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>в)  Разходи за загубена производителност</w:t>
      </w:r>
      <w:r w:rsidRPr="00CB4B0B">
        <w:rPr>
          <w:b/>
          <w:lang w:val="en-US"/>
        </w:rPr>
        <w:t xml:space="preserve"> </w:t>
      </w:r>
      <w:r w:rsidRPr="00CB4B0B">
        <w:rPr>
          <w:b/>
        </w:rPr>
        <w:t>и преки и косвени здравни разходи и ползи</w:t>
      </w:r>
      <w:r w:rsidR="00923BB9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г) Само преки здравни ползи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numPr>
          <w:ilvl w:val="0"/>
          <w:numId w:val="1"/>
        </w:numPr>
        <w:spacing w:before="240" w:line="240" w:lineRule="auto"/>
        <w:jc w:val="both"/>
      </w:pPr>
      <w:r w:rsidRPr="00CB4B0B">
        <w:t>Оценката на здравните разходи и ползи за бъдеще време изисква: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а)  Трансфериране на разходите и ползите</w:t>
      </w:r>
    </w:p>
    <w:p w:rsidR="001E7056" w:rsidRPr="00923BB9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>б) Дисконтиране на разходите и ползите</w:t>
      </w:r>
      <w:r w:rsidR="00923BB9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в) Адаптиране на разходите и ползите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г) Приемане на настоящите стойности за разходи и ползи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numPr>
          <w:ilvl w:val="0"/>
          <w:numId w:val="1"/>
        </w:numPr>
        <w:spacing w:before="240" w:line="240" w:lineRule="auto"/>
        <w:jc w:val="both"/>
      </w:pPr>
      <w:r w:rsidRPr="00CB4B0B">
        <w:t xml:space="preserve"> Анализ минимализиране на разходите измерва:</w:t>
      </w:r>
    </w:p>
    <w:p w:rsidR="001E7056" w:rsidRPr="00923BB9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>а) Разлика между разходите на две здравни програми</w:t>
      </w:r>
      <w:r w:rsidR="00923BB9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б) Разлика между съотношението на разходи и резултати на две здравни програми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lastRenderedPageBreak/>
        <w:t>в) Разлика между съотношение на разходи и желано здравно състояние на две здравни програми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г) Разлика между съотношението на разходи и желание за плащане на две здравни програми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numPr>
          <w:ilvl w:val="0"/>
          <w:numId w:val="1"/>
        </w:numPr>
        <w:spacing w:before="240" w:line="240" w:lineRule="auto"/>
        <w:jc w:val="both"/>
      </w:pPr>
      <w:r w:rsidRPr="00CB4B0B">
        <w:t>Анализ разход/полезност измерва: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а) Разлика между разходите на две здравни програми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б) Разлика между съотношението на разходи и резултати на две здравни програми</w:t>
      </w:r>
    </w:p>
    <w:p w:rsidR="001E7056" w:rsidRPr="00923BB9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>в) Разлика между съотношение на разходи и желано здравно състояние на две здравни програми</w:t>
      </w:r>
      <w:r w:rsidR="00923BB9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г) Разлика между съотношението на разходи и желание за плащане на две здравни програми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  <w:rPr>
          <w:color w:val="FF0000"/>
        </w:rPr>
      </w:pPr>
    </w:p>
    <w:p w:rsidR="001E7056" w:rsidRPr="00CB4B0B" w:rsidRDefault="001E7056" w:rsidP="00457BEE">
      <w:pPr>
        <w:pStyle w:val="ListParagraph"/>
        <w:numPr>
          <w:ilvl w:val="0"/>
          <w:numId w:val="1"/>
        </w:numPr>
        <w:spacing w:before="240" w:line="240" w:lineRule="auto"/>
        <w:jc w:val="both"/>
      </w:pPr>
      <w:r w:rsidRPr="00CB4B0B">
        <w:t>Постоянни здравни разходи са: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а)  Разходи за лекарствени продукти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б) Разходи за храна</w:t>
      </w:r>
    </w:p>
    <w:p w:rsidR="001E7056" w:rsidRPr="00923BB9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>в) Разходи за трудови възнаграждения</w:t>
      </w:r>
      <w:r w:rsidR="00923BB9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г) Разходи за медицински консуматив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numPr>
          <w:ilvl w:val="0"/>
          <w:numId w:val="1"/>
        </w:numPr>
        <w:spacing w:before="240" w:line="240" w:lineRule="auto"/>
        <w:jc w:val="both"/>
      </w:pPr>
      <w:r w:rsidRPr="00CB4B0B">
        <w:t>Режийните разходи трябва да се:</w:t>
      </w:r>
    </w:p>
    <w:p w:rsidR="001E7056" w:rsidRPr="00923BB9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>а) Разпределят към разходни центрове</w:t>
      </w:r>
      <w:r w:rsidR="00923BB9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б) Игнорират при изчисляването на преките разходи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в) Изключват при изчисляването на средните разходи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г) Трансферират от други страни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numPr>
          <w:ilvl w:val="0"/>
          <w:numId w:val="1"/>
        </w:numPr>
        <w:spacing w:before="240" w:line="240" w:lineRule="auto"/>
        <w:jc w:val="both"/>
      </w:pPr>
      <w:r w:rsidRPr="00CB4B0B">
        <w:t>Косвените здравни разходи представляват: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а) Режийни разходи на лечебното заведение</w:t>
      </w:r>
    </w:p>
    <w:p w:rsidR="001E7056" w:rsidRPr="00923BB9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>б) Разходи за загубена производителност през болничният престой</w:t>
      </w:r>
      <w:r w:rsidR="00923BB9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в) Разходи за трудови възнаграждения на здравните професионалисти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г) Инвестиционни разходи за медицинска апаратура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numPr>
          <w:ilvl w:val="0"/>
          <w:numId w:val="1"/>
        </w:numPr>
        <w:spacing w:before="240" w:line="240" w:lineRule="auto"/>
        <w:jc w:val="both"/>
      </w:pPr>
      <w:r w:rsidRPr="00CB4B0B">
        <w:t>Резултатите при анализа разход/</w:t>
      </w:r>
      <w:r w:rsidR="00615083" w:rsidRPr="00CB4B0B">
        <w:t>полза</w:t>
      </w:r>
      <w:r w:rsidRPr="00CB4B0B">
        <w:t xml:space="preserve"> се измерват в:</w:t>
      </w:r>
    </w:p>
    <w:p w:rsidR="001E7056" w:rsidRPr="00923BB9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>а) Парична стойност</w:t>
      </w:r>
      <w:r w:rsidR="00923BB9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б) Специфични биологични показатели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в) Удължена продължителност на живота в добро здраве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г) Стойност на намалените разходи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numPr>
          <w:ilvl w:val="0"/>
          <w:numId w:val="1"/>
        </w:numPr>
        <w:spacing w:before="240" w:line="240" w:lineRule="auto"/>
        <w:jc w:val="both"/>
      </w:pPr>
      <w:r w:rsidRPr="00CB4B0B">
        <w:t>Резултатите при анализа разход/полезност: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а) Не се измерват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 xml:space="preserve">б) Измерват се в  </w:t>
      </w:r>
      <w:r w:rsidRPr="00CB4B0B">
        <w:rPr>
          <w:b/>
          <w:lang w:val="en-US"/>
        </w:rPr>
        <w:t>QALY</w:t>
      </w:r>
      <w:r w:rsidR="00923BB9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в) Измерват се в желание за плащане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г) Измерват се в намалени стойности на гликиран хемоглобин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numPr>
          <w:ilvl w:val="0"/>
          <w:numId w:val="1"/>
        </w:numPr>
        <w:spacing w:before="240" w:line="240" w:lineRule="auto"/>
        <w:jc w:val="both"/>
      </w:pPr>
      <w:r w:rsidRPr="00CB4B0B">
        <w:t xml:space="preserve">Общият параметър на всички видове </w:t>
      </w:r>
      <w:r w:rsidR="00615083" w:rsidRPr="00CB4B0B">
        <w:t>ОЗТ</w:t>
      </w:r>
      <w:r w:rsidRPr="00CB4B0B">
        <w:t xml:space="preserve"> е: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а) Здравният резултат</w:t>
      </w:r>
    </w:p>
    <w:p w:rsidR="001E7056" w:rsidRPr="00923BB9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lastRenderedPageBreak/>
        <w:t>б) Здравните разходи</w:t>
      </w:r>
      <w:r w:rsidR="00923BB9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в) Перспективата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г) Времевият хоризонт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numPr>
          <w:ilvl w:val="0"/>
          <w:numId w:val="1"/>
        </w:numPr>
        <w:spacing w:before="240" w:line="240" w:lineRule="auto"/>
        <w:jc w:val="both"/>
      </w:pPr>
      <w:r w:rsidRPr="00CB4B0B">
        <w:t>Най-високо ниво на доказателство имат следните клинични проучвания: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а) Нерандомизирани контролирани проучвания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б) Проучвания без контролни групи</w:t>
      </w:r>
    </w:p>
    <w:p w:rsidR="001E7056" w:rsidRPr="00923BB9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>в) Многоцентрови рандомизирани проучвания</w:t>
      </w:r>
      <w:r w:rsidR="00923BB9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г)   Проучвания на исторически данни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numPr>
          <w:ilvl w:val="0"/>
          <w:numId w:val="1"/>
        </w:numPr>
        <w:spacing w:before="240" w:line="240" w:lineRule="auto"/>
        <w:jc w:val="both"/>
      </w:pPr>
      <w:r w:rsidRPr="00CB4B0B">
        <w:t>Мерната единица на резултатите при еднотипни анализи може за бъде различна, когато се използва: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а) Минимализиране на разходите</w:t>
      </w:r>
    </w:p>
    <w:p w:rsidR="001E7056" w:rsidRPr="00923BB9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>б) Разход/резултат</w:t>
      </w:r>
      <w:r w:rsidR="00923BB9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в) Разход/полезност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г) Разход/полза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 xml:space="preserve"> 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numPr>
          <w:ilvl w:val="0"/>
          <w:numId w:val="1"/>
        </w:numPr>
        <w:spacing w:before="240" w:line="240" w:lineRule="auto"/>
        <w:jc w:val="both"/>
      </w:pPr>
      <w:r w:rsidRPr="00CB4B0B">
        <w:t>Особено внимание на качеството на здравните резултати отделя следният икономически анализ: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а) Минимализиране на разходите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б) Разход/резултат</w:t>
      </w:r>
    </w:p>
    <w:p w:rsidR="001E7056" w:rsidRPr="00923BB9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>в) Разход/полезност</w:t>
      </w:r>
      <w:r w:rsidR="00923BB9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г) Разход/полза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numPr>
          <w:ilvl w:val="0"/>
          <w:numId w:val="1"/>
        </w:numPr>
        <w:spacing w:before="240" w:line="240" w:lineRule="auto"/>
        <w:jc w:val="both"/>
      </w:pPr>
      <w:r w:rsidRPr="00CB4B0B">
        <w:t>Анализа на чувствителността на получените резултати изисква:</w:t>
      </w:r>
    </w:p>
    <w:p w:rsidR="001E7056" w:rsidRPr="00923BB9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>а) Определяне на достоверен обхват на неопределените фактори</w:t>
      </w:r>
      <w:r w:rsidR="00923BB9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б) Определяне на етиологичната фракция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в) Определяне на популационния атрибутивен риск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г) Определяне на социалната тежест на заболяването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numPr>
          <w:ilvl w:val="0"/>
          <w:numId w:val="1"/>
        </w:numPr>
        <w:spacing w:before="240" w:line="240" w:lineRule="auto"/>
        <w:jc w:val="both"/>
      </w:pPr>
      <w:r w:rsidRPr="00CB4B0B">
        <w:t>За оценка на резултатите от иновативна лекарствена терапия най-подходящ е следният вид анализ: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а) Минимализиране на разходите</w:t>
      </w:r>
    </w:p>
    <w:p w:rsidR="001E7056" w:rsidRPr="00923BB9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>б) Разход/резултат</w:t>
      </w:r>
      <w:r w:rsidR="00923BB9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в) Разход/полезност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г) Разход/полза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numPr>
          <w:ilvl w:val="0"/>
          <w:numId w:val="1"/>
        </w:numPr>
        <w:spacing w:before="240" w:line="240" w:lineRule="auto"/>
        <w:jc w:val="both"/>
      </w:pPr>
      <w:r w:rsidRPr="00CB4B0B">
        <w:t>Когато се оценяват здравни програми, които имат ефект едновременно върху смъртността и заболяемостта е подходящо да се използва следният икономически анализ: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а) Минимализиране на разходите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б) Разход/резултат</w:t>
      </w:r>
    </w:p>
    <w:p w:rsidR="001E7056" w:rsidRPr="00923BB9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>в) Разход/полезност</w:t>
      </w:r>
      <w:r w:rsidR="00923BB9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г) Разход/полза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numPr>
          <w:ilvl w:val="0"/>
          <w:numId w:val="1"/>
        </w:numPr>
        <w:spacing w:before="240" w:line="240" w:lineRule="auto"/>
        <w:jc w:val="both"/>
      </w:pPr>
      <w:r w:rsidRPr="00CB4B0B">
        <w:lastRenderedPageBreak/>
        <w:t>Метод за измерване на полезности е:</w:t>
      </w:r>
    </w:p>
    <w:p w:rsidR="001E7056" w:rsidRPr="00923BB9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>а) Стандартна лотария</w:t>
      </w:r>
      <w:r w:rsidR="00923BB9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б) Рангова скала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в) Персонална размяна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г) Визуална аналогова скала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numPr>
          <w:ilvl w:val="0"/>
          <w:numId w:val="1"/>
        </w:numPr>
        <w:spacing w:before="240" w:line="240" w:lineRule="auto"/>
        <w:jc w:val="both"/>
      </w:pPr>
      <w:r w:rsidRPr="00CB4B0B">
        <w:t>Кой от икономическите анализи има най-широк обхват и може да бъде използван в различни обществени сектори?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а) Минимализиране на разходи</w:t>
      </w:r>
      <w:r w:rsidR="00061063" w:rsidRPr="00CB4B0B">
        <w:t>те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б) Разход/резултат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в) Разход/полезност</w:t>
      </w:r>
    </w:p>
    <w:p w:rsidR="001E7056" w:rsidRPr="00923BB9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>г) Разход/полза</w:t>
      </w:r>
      <w:r w:rsidR="00923BB9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numPr>
          <w:ilvl w:val="0"/>
          <w:numId w:val="1"/>
        </w:numPr>
        <w:spacing w:before="240" w:line="240" w:lineRule="auto"/>
        <w:jc w:val="both"/>
      </w:pPr>
      <w:r w:rsidRPr="00CB4B0B">
        <w:t>Метода за оценка на вероятните резултати при анализа разход/полза измерва:</w:t>
      </w:r>
    </w:p>
    <w:p w:rsidR="001E7056" w:rsidRPr="00923BB9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>а) Максималната готовност за плащане</w:t>
      </w:r>
      <w:r w:rsidR="00923BB9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б) Спестените здравни ресурси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в) Стойността на бъдещите трудови доходи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г) Съотношението на здравните рискове и трудово възнаграждение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numPr>
          <w:ilvl w:val="0"/>
          <w:numId w:val="1"/>
        </w:numPr>
        <w:spacing w:before="240" w:line="240" w:lineRule="auto"/>
        <w:jc w:val="both"/>
      </w:pPr>
      <w:r w:rsidRPr="00CB4B0B">
        <w:t>Метода на откритите предпочитания при анализа разход/полза измерва: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а) Максималната готовност за плащане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б) Спестените здравни ресурси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в) Стойността на бъдещите трудови доходи</w:t>
      </w:r>
    </w:p>
    <w:p w:rsidR="001E7056" w:rsidRPr="00923BB9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>г) Съотношението на здравните рискове и трудово възнаграждение</w:t>
      </w:r>
      <w:r w:rsidR="00923BB9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numPr>
          <w:ilvl w:val="0"/>
          <w:numId w:val="1"/>
        </w:numPr>
        <w:spacing w:before="240" w:line="240" w:lineRule="auto"/>
        <w:jc w:val="both"/>
      </w:pPr>
      <w:r w:rsidRPr="00CB4B0B">
        <w:t>При икономическа оценка на лекарствена терапия са релевантни данните от: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а) Радомизирано контролирано клинично проучване от типа „лекарствен продукт-плацебо”</w:t>
      </w:r>
    </w:p>
    <w:p w:rsidR="001E7056" w:rsidRPr="00923BB9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>б) Кръстосано рандомизирано клинично проучване от типа „лекарствен продукт-терапевтична алтернатива”</w:t>
      </w:r>
      <w:r w:rsidR="00923BB9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в) Рандомизирано клинично проучване  на ефективността спрямо контролна група, която не получава терапия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  <w:rPr>
          <w:lang w:val="en-US"/>
        </w:rPr>
      </w:pPr>
      <w:r w:rsidRPr="00CB4B0B">
        <w:t xml:space="preserve">г) Рандомизирано клинично проучване на безопасността на лекарствената терапия.  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  <w:rPr>
          <w:lang w:val="en-US"/>
        </w:rPr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numPr>
          <w:ilvl w:val="0"/>
          <w:numId w:val="1"/>
        </w:numPr>
        <w:spacing w:before="240" w:line="240" w:lineRule="auto"/>
        <w:jc w:val="both"/>
      </w:pPr>
      <w:r w:rsidRPr="00CB4B0B">
        <w:t>При провеждане на клинично проучване на лекарствен продукт с цел установяване на ефикасността и фармакоикономически анализ е необходимо сравнение с:</w:t>
      </w:r>
    </w:p>
    <w:p w:rsidR="001E7056" w:rsidRPr="00923BB9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>а) Утвърдена терапевтична алтернатива</w:t>
      </w:r>
      <w:r w:rsidR="00923BB9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б) Терапевтична алтернатива по избор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в) Плацебо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г) Не е необходимо сравнение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numPr>
          <w:ilvl w:val="0"/>
          <w:numId w:val="1"/>
        </w:numPr>
        <w:spacing w:before="240" w:line="240" w:lineRule="auto"/>
        <w:jc w:val="both"/>
      </w:pPr>
      <w:r w:rsidRPr="00CB4B0B">
        <w:t>Обективната икономическа оценка на параметрите на здравна програма на популационно ниво зависи от: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а) Метода за дисконтиране на разходите и резултатите</w:t>
      </w:r>
    </w:p>
    <w:p w:rsidR="001E7056" w:rsidRPr="00923BB9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>б) Статистическата адекватност на размера на извадката</w:t>
      </w:r>
      <w:r w:rsidR="00923BB9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в)  Метода за изчисление на пределните здравни разходи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lastRenderedPageBreak/>
        <w:t>г) Определеният времеви хоризонт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numPr>
          <w:ilvl w:val="0"/>
          <w:numId w:val="1"/>
        </w:numPr>
        <w:spacing w:before="240" w:line="240" w:lineRule="auto"/>
        <w:jc w:val="both"/>
      </w:pPr>
      <w:r w:rsidRPr="00CB4B0B">
        <w:t xml:space="preserve">Използването на единен формат за представяне на данните от </w:t>
      </w:r>
      <w:r w:rsidR="004071F8" w:rsidRPr="00CB4B0B">
        <w:t>ОЗТ</w:t>
      </w:r>
      <w:r w:rsidRPr="00CB4B0B">
        <w:t xml:space="preserve"> има следните предимства: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а) Предоставя възможност за вземане на здравнополитически решения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б) Оценява съотношението на разходите и резултатите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в) Сравнява разходи в парична стойност с резултати, измерени в полезност</w:t>
      </w:r>
    </w:p>
    <w:p w:rsidR="001E7056" w:rsidRPr="00923BB9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>г) Улеснява съпоставимостта на данните от различни оценки</w:t>
      </w:r>
      <w:r w:rsidR="00923BB9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numPr>
          <w:ilvl w:val="0"/>
          <w:numId w:val="1"/>
        </w:numPr>
        <w:spacing w:before="240" w:line="240" w:lineRule="auto"/>
        <w:jc w:val="both"/>
      </w:pPr>
      <w:r w:rsidRPr="00CB4B0B">
        <w:t xml:space="preserve"> Резултатите от </w:t>
      </w:r>
      <w:r w:rsidR="004071F8" w:rsidRPr="00CB4B0B">
        <w:t>ОЗТ</w:t>
      </w:r>
      <w:r w:rsidRPr="00CB4B0B">
        <w:t xml:space="preserve"> се оценяват по: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а) Правилно определяне на гледната точка</w:t>
      </w:r>
    </w:p>
    <w:p w:rsidR="001E7056" w:rsidRPr="00923BB9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>б) Наличие на доказателства за ефикасност и безопасност на оценяваната здравна програма</w:t>
      </w:r>
      <w:r w:rsidR="00923BB9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в) Експертните становища за ефективността на програмата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г) Избраният метод за определяне на средните здравни разходи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  <w:rPr>
          <w:b/>
        </w:rPr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numPr>
          <w:ilvl w:val="0"/>
          <w:numId w:val="1"/>
        </w:numPr>
        <w:spacing w:before="240" w:line="240" w:lineRule="auto"/>
        <w:jc w:val="both"/>
      </w:pPr>
      <w:r w:rsidRPr="00CB4B0B">
        <w:t>Един от най-важните фактори за релевантността на всяка икономическа оценка е:</w:t>
      </w:r>
    </w:p>
    <w:p w:rsidR="001E7056" w:rsidRPr="00923BB9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>а) Точно измерване на разходи и резултати в подходящи мерни единици</w:t>
      </w:r>
      <w:r w:rsidR="00923BB9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б) Директно рандомизирано клинично изпитване, сравняващо предложената здравна програма с нейната терапевтична алтернатива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в) Представяне на локални данни за ефикасността и безопасността на здравната програма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г) Използване на вторични проспективни данни от клинични изпитвания.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numPr>
          <w:ilvl w:val="0"/>
          <w:numId w:val="1"/>
        </w:numPr>
        <w:spacing w:before="240" w:line="240" w:lineRule="auto"/>
        <w:jc w:val="both"/>
      </w:pPr>
      <w:r w:rsidRPr="00CB4B0B">
        <w:t xml:space="preserve">Оценяването на резултатите от </w:t>
      </w:r>
      <w:r w:rsidR="004071F8" w:rsidRPr="00CB4B0B">
        <w:t xml:space="preserve">ОЗТ </w:t>
      </w:r>
      <w:r w:rsidRPr="00CB4B0B">
        <w:t>не обхваща:</w:t>
      </w:r>
    </w:p>
    <w:p w:rsidR="001E7056" w:rsidRPr="00923BB9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>а) Целта на икономическата оценка</w:t>
      </w:r>
      <w:r w:rsidR="00923BB9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б) Избора на терапевтичната алтернатива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в) Извършеният анализ на чувствителността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г) Извършеният диференциален анализ на терапевтичните алтернативи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ind w:hanging="436"/>
        <w:jc w:val="both"/>
      </w:pPr>
      <w:r w:rsidRPr="00CB4B0B">
        <w:t>61. Избора на обществена перспектива при извършването на икономически анализ изисква: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а) Оценяване само на преки здравни разходи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б) Оценяване на преки и косвени здравни разходи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в) Оценяване на средни и пределни здравни разходи</w:t>
      </w:r>
    </w:p>
    <w:p w:rsidR="001E7056" w:rsidRPr="00923BB9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>г) Оценяване на здравните разходи и разходите за загубена производителност</w:t>
      </w:r>
      <w:r w:rsidR="00923BB9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numPr>
          <w:ilvl w:val="0"/>
          <w:numId w:val="2"/>
        </w:numPr>
        <w:spacing w:before="240" w:line="240" w:lineRule="auto"/>
        <w:jc w:val="both"/>
      </w:pPr>
      <w:r w:rsidRPr="00CB4B0B">
        <w:t xml:space="preserve">Експертно мнение в </w:t>
      </w:r>
      <w:r w:rsidR="004071F8" w:rsidRPr="00CB4B0B">
        <w:t xml:space="preserve">ОЗТ </w:t>
      </w:r>
      <w:r w:rsidRPr="00CB4B0B">
        <w:t xml:space="preserve"> може да се използва за :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а) Определяне на разходи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б) Определяне на терапевтични резултати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в) Определяне на желанието за плащане</w:t>
      </w:r>
    </w:p>
    <w:p w:rsidR="001E7056" w:rsidRPr="00923BB9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>г) Определяне на вторични параметри</w:t>
      </w:r>
      <w:r w:rsidR="00923BB9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  <w:rPr>
          <w:color w:val="FF0000"/>
        </w:rPr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numPr>
          <w:ilvl w:val="0"/>
          <w:numId w:val="2"/>
        </w:numPr>
        <w:spacing w:before="240" w:line="240" w:lineRule="auto"/>
        <w:jc w:val="both"/>
      </w:pPr>
      <w:r w:rsidRPr="00CB4B0B">
        <w:t>При сравнителен фармакоикономически анализ на две лекарствени терапии за намаляване на серумния холестерол е подходящо да се използва: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а) Анализ на разходите</w:t>
      </w:r>
    </w:p>
    <w:p w:rsidR="001E7056" w:rsidRPr="00923BB9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>б) Анализ разход/резултат</w:t>
      </w:r>
      <w:r w:rsidR="00923BB9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в) Анализ разход/полезност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г) Анализ разход/полза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numPr>
          <w:ilvl w:val="0"/>
          <w:numId w:val="3"/>
        </w:numPr>
        <w:spacing w:before="240" w:line="240" w:lineRule="auto"/>
        <w:jc w:val="both"/>
      </w:pPr>
      <w:r w:rsidRPr="00CB4B0B">
        <w:t xml:space="preserve">Класификацията на изискванията за данни в </w:t>
      </w:r>
      <w:r w:rsidR="00A719DC" w:rsidRPr="00CB4B0B">
        <w:t>ОЗТ</w:t>
      </w:r>
      <w:r w:rsidRPr="00CB4B0B">
        <w:t xml:space="preserve"> е важна за :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а) Определяне на гледната точка на икономическата оценка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б) Анализа на чувствителността на неопределените параметри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в) Определяне на терапевтичните насоки</w:t>
      </w:r>
    </w:p>
    <w:p w:rsidR="001E7056" w:rsidRPr="00923BB9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>г) Прозрачност на взетите решения, базирани на икономически оценки</w:t>
      </w:r>
      <w:r w:rsidR="00923BB9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  <w:rPr>
          <w:lang w:val="en-US"/>
        </w:rPr>
      </w:pPr>
    </w:p>
    <w:p w:rsidR="001E7056" w:rsidRPr="00CB4B0B" w:rsidRDefault="001E7056" w:rsidP="00457BEE">
      <w:pPr>
        <w:pStyle w:val="ListParagraph"/>
        <w:numPr>
          <w:ilvl w:val="0"/>
          <w:numId w:val="3"/>
        </w:numPr>
        <w:spacing w:before="240" w:line="240" w:lineRule="auto"/>
        <w:jc w:val="both"/>
        <w:rPr>
          <w:lang w:val="en-US"/>
        </w:rPr>
      </w:pPr>
      <w:r w:rsidRPr="00CB4B0B">
        <w:t xml:space="preserve">Задължително изискване към представянето на резултатите от </w:t>
      </w:r>
      <w:r w:rsidR="00A719DC" w:rsidRPr="00CB4B0B">
        <w:t xml:space="preserve">ОЗТ </w:t>
      </w:r>
      <w:r w:rsidRPr="00CB4B0B">
        <w:t xml:space="preserve"> трябва да бъде:</w:t>
      </w:r>
    </w:p>
    <w:p w:rsidR="001E7056" w:rsidRPr="00923BB9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>а) Представяне на критериите за подбор на вторични данни</w:t>
      </w:r>
      <w:r w:rsidR="00923BB9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б) Представяне на данни за желанието за плащане от локалното население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в) Представяне  на данни от директно рандомизирано клинично изпитване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г) Представяне  на данни за 20-годишен времеви хоризонт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numPr>
          <w:ilvl w:val="0"/>
          <w:numId w:val="3"/>
        </w:numPr>
        <w:spacing w:before="240" w:line="240" w:lineRule="auto"/>
        <w:jc w:val="both"/>
        <w:rPr>
          <w:lang w:val="en-US"/>
        </w:rPr>
      </w:pPr>
      <w:r w:rsidRPr="00CB4B0B">
        <w:t>Кое не е критерии за вземане на решение за реимбурсиране на един лекарствен продукт: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а) Наличие на лекарствена алтернатива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б) Икономическа ефективност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в) Терапевтична полза и добавена стойност за пациента</w:t>
      </w:r>
    </w:p>
    <w:p w:rsidR="001E7056" w:rsidRPr="00923BB9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>г) Наличие на патентна защита</w:t>
      </w:r>
      <w:r w:rsidR="00923BB9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numPr>
          <w:ilvl w:val="0"/>
          <w:numId w:val="3"/>
        </w:numPr>
        <w:spacing w:before="240" w:line="240" w:lineRule="auto"/>
        <w:jc w:val="both"/>
        <w:rPr>
          <w:lang w:val="en-US"/>
        </w:rPr>
      </w:pPr>
      <w:r w:rsidRPr="00CB4B0B">
        <w:t>Основен недостатък на съвременните фармакоикономически оценки е: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а) Избора на здравна перспектива</w:t>
      </w:r>
    </w:p>
    <w:p w:rsidR="001E7056" w:rsidRPr="00923BB9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>б) Липсата на оценка на вредните лекарствени взаимодействия</w:t>
      </w:r>
      <w:r w:rsidR="00923BB9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в) Избора на сравнителна лекарствена алтернатива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 xml:space="preserve">г) Липсата на оценка на разходите за производителност  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numPr>
          <w:ilvl w:val="0"/>
          <w:numId w:val="3"/>
        </w:numPr>
        <w:spacing w:before="240" w:line="240" w:lineRule="auto"/>
        <w:jc w:val="both"/>
        <w:rPr>
          <w:lang w:val="en-US"/>
        </w:rPr>
      </w:pPr>
      <w:r w:rsidRPr="00CB4B0B">
        <w:t>Целта  на здравната перспектива в една икономическа оценка най-често е:</w:t>
      </w:r>
    </w:p>
    <w:p w:rsidR="001E7056" w:rsidRPr="00923BB9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>а) Краткосрочно намаляване на разходите</w:t>
      </w:r>
      <w:r w:rsidR="00923BB9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б) Дългосрочно намаляване на заболяемостта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в) Остойностяване на разходите за загубена производителност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г) Измерване на желанието за плащане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numPr>
          <w:ilvl w:val="0"/>
          <w:numId w:val="3"/>
        </w:numPr>
        <w:spacing w:before="240" w:line="240" w:lineRule="auto"/>
        <w:jc w:val="both"/>
      </w:pPr>
      <w:r w:rsidRPr="00CB4B0B">
        <w:t>Термина „Разходна ефективност” се отнася до измерване на съотношението: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а) Разход/полза</w:t>
      </w:r>
    </w:p>
    <w:p w:rsidR="001E7056" w:rsidRPr="00923BB9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>б) Разход/резултат</w:t>
      </w:r>
      <w:r w:rsidR="00923BB9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в) Разход/полезност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г) Риск/полза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 xml:space="preserve"> 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numPr>
          <w:ilvl w:val="0"/>
          <w:numId w:val="3"/>
        </w:numPr>
        <w:spacing w:before="240" w:line="240" w:lineRule="auto"/>
        <w:jc w:val="both"/>
      </w:pPr>
      <w:r w:rsidRPr="00CB4B0B">
        <w:t>Икономическите оценки в сферата на социалното здравно осигуряване трябва да отчитат: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а) Размера на пропорционалните вноски на здравния риск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б) Селекцията на здравния риск</w:t>
      </w:r>
    </w:p>
    <w:p w:rsidR="001E7056" w:rsidRPr="00923BB9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>в) Кръстосано субсидиране от богати към бедни</w:t>
      </w:r>
      <w:r w:rsidR="00923BB9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г) Рисковият профил на осигурените лица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numPr>
          <w:ilvl w:val="0"/>
          <w:numId w:val="3"/>
        </w:numPr>
        <w:spacing w:before="240" w:line="240" w:lineRule="auto"/>
        <w:jc w:val="both"/>
      </w:pPr>
      <w:r w:rsidRPr="00CB4B0B">
        <w:t xml:space="preserve">Разходите за загубена производителност при здравната перспектива на </w:t>
      </w:r>
      <w:r w:rsidR="00FE1978" w:rsidRPr="00CB4B0B">
        <w:t>ОЗТ</w:t>
      </w:r>
      <w:r w:rsidRPr="00CB4B0B">
        <w:t xml:space="preserve"> се изчисляват чрез: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а) Метод на човешкия капитал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б) Метод на откритите предпочитания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в) Метод за оценка на вероятните разходи</w:t>
      </w:r>
    </w:p>
    <w:p w:rsidR="001E7056" w:rsidRPr="00923BB9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>г) Не се изчисляват</w:t>
      </w:r>
      <w:r w:rsidR="00923BB9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  <w:rPr>
          <w:b/>
        </w:rPr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numPr>
          <w:ilvl w:val="0"/>
          <w:numId w:val="3"/>
        </w:numPr>
        <w:spacing w:before="240" w:line="240" w:lineRule="auto"/>
        <w:jc w:val="both"/>
      </w:pPr>
      <w:r w:rsidRPr="00CB4B0B">
        <w:t>Разходите в анализа минимализиране на разходите се измерват в: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  <w:rPr>
          <w:lang w:val="en-US"/>
        </w:rPr>
      </w:pPr>
      <w:r w:rsidRPr="00CB4B0B">
        <w:t xml:space="preserve">а) </w:t>
      </w:r>
      <w:r w:rsidRPr="00CB4B0B">
        <w:rPr>
          <w:lang w:val="en-US"/>
        </w:rPr>
        <w:t>QALY</w:t>
      </w:r>
    </w:p>
    <w:p w:rsidR="001E7056" w:rsidRPr="00923BB9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>б) Парична стойност</w:t>
      </w:r>
      <w:r w:rsidR="00923BB9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в) Крайни здравни резултати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г) Не се измерват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  <w:rPr>
          <w:lang w:val="en-US"/>
        </w:rPr>
      </w:pPr>
    </w:p>
    <w:p w:rsidR="001E7056" w:rsidRPr="00CB4B0B" w:rsidRDefault="001E7056" w:rsidP="00457BEE">
      <w:pPr>
        <w:pStyle w:val="ListParagraph"/>
        <w:numPr>
          <w:ilvl w:val="0"/>
          <w:numId w:val="3"/>
        </w:numPr>
        <w:spacing w:before="240" w:line="240" w:lineRule="auto"/>
        <w:jc w:val="both"/>
      </w:pPr>
      <w:r w:rsidRPr="00CB4B0B">
        <w:t>Параметъра „желание за плащане” се използва за измерване на резултатите в следният икономически анализ: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а) СМА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  <w:rPr>
          <w:lang w:val="en-US"/>
        </w:rPr>
      </w:pPr>
      <w:r w:rsidRPr="00CB4B0B">
        <w:t>б)</w:t>
      </w:r>
      <w:r w:rsidRPr="00CB4B0B">
        <w:rPr>
          <w:lang w:val="en-US"/>
        </w:rPr>
        <w:t xml:space="preserve"> CUA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  <w:rPr>
          <w:lang w:val="en-US"/>
        </w:rPr>
      </w:pPr>
      <w:r w:rsidRPr="00CB4B0B">
        <w:t>в)</w:t>
      </w:r>
      <w:r w:rsidRPr="00CB4B0B">
        <w:rPr>
          <w:lang w:val="en-US"/>
        </w:rPr>
        <w:t xml:space="preserve"> CEA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 xml:space="preserve">г) </w:t>
      </w:r>
      <w:r w:rsidRPr="00CB4B0B">
        <w:rPr>
          <w:b/>
          <w:lang w:val="en-US"/>
        </w:rPr>
        <w:t>CBA</w:t>
      </w:r>
      <w:r w:rsidR="00923BB9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numPr>
          <w:ilvl w:val="0"/>
          <w:numId w:val="3"/>
        </w:numPr>
        <w:spacing w:before="240" w:line="240" w:lineRule="auto"/>
        <w:jc w:val="both"/>
      </w:pPr>
      <w:r w:rsidRPr="00CB4B0B">
        <w:t>Измерване на съотношението риск/полза в здравните анализи изисква:</w:t>
      </w:r>
    </w:p>
    <w:p w:rsidR="001E7056" w:rsidRPr="00923BB9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>а) Оценка на съотношението на терапевтична ефикасност и безопасност</w:t>
      </w:r>
      <w:r w:rsidR="00923BB9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б) Оценка на съотношението на здравни разходи и резултати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в) Оценка на съотношението на здравни разходи и желание за плащане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г) Оценка на съотношението на здравни разходи и полезност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FA4D07" w:rsidP="00457BEE">
      <w:pPr>
        <w:pStyle w:val="ListParagraph"/>
        <w:numPr>
          <w:ilvl w:val="0"/>
          <w:numId w:val="3"/>
        </w:numPr>
        <w:spacing w:before="240" w:line="240" w:lineRule="auto"/>
        <w:jc w:val="both"/>
      </w:pPr>
      <w:r w:rsidRPr="00CB4B0B">
        <w:t>Болестността в една популация представлява</w:t>
      </w:r>
      <w:r w:rsidR="001E7056" w:rsidRPr="00CB4B0B">
        <w:t>:</w:t>
      </w:r>
    </w:p>
    <w:p w:rsidR="001E7056" w:rsidRPr="00923BB9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 xml:space="preserve">а) </w:t>
      </w:r>
      <w:r w:rsidR="00FA4D07" w:rsidRPr="00CB4B0B">
        <w:rPr>
          <w:b/>
        </w:rPr>
        <w:t>Съществуващи случаи на заболяване в определен момент</w:t>
      </w:r>
      <w:r w:rsidR="00923BB9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 xml:space="preserve">б) </w:t>
      </w:r>
      <w:r w:rsidR="00FA4D07" w:rsidRPr="00CB4B0B">
        <w:t>Честота на поява на нови случаи на заболяване за определен период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 xml:space="preserve">в) </w:t>
      </w:r>
      <w:r w:rsidR="00FA4D07" w:rsidRPr="00CB4B0B">
        <w:t>Честота на поява на нови случаи в определена извадка от популацията в риск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 xml:space="preserve">г) </w:t>
      </w:r>
      <w:r w:rsidR="00FA4D07" w:rsidRPr="00CB4B0B">
        <w:t>Относителният риск за възникване на заболяване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3533B4" w:rsidP="00457BEE">
      <w:pPr>
        <w:pStyle w:val="ListParagraph"/>
        <w:numPr>
          <w:ilvl w:val="0"/>
          <w:numId w:val="3"/>
        </w:numPr>
        <w:spacing w:before="240" w:line="240" w:lineRule="auto"/>
        <w:jc w:val="both"/>
      </w:pPr>
      <w:r w:rsidRPr="00CB4B0B">
        <w:t>Кумулативната заболяемост представлява</w:t>
      </w:r>
      <w:r w:rsidR="001E7056" w:rsidRPr="00CB4B0B">
        <w:t>: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 xml:space="preserve">а) </w:t>
      </w:r>
      <w:r w:rsidR="003533B4" w:rsidRPr="00CB4B0B">
        <w:t>Съществуващи случаи на заболяване в определен момент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  <w:rPr>
          <w:b/>
        </w:rPr>
      </w:pPr>
      <w:r w:rsidRPr="00CB4B0B">
        <w:t>б)</w:t>
      </w:r>
      <w:r w:rsidRPr="00CB4B0B">
        <w:rPr>
          <w:b/>
        </w:rPr>
        <w:t xml:space="preserve"> </w:t>
      </w:r>
      <w:r w:rsidR="003533B4" w:rsidRPr="00CB4B0B">
        <w:t>Честота на поява на нови случаи на заболяване за определен период</w:t>
      </w:r>
    </w:p>
    <w:p w:rsidR="001E7056" w:rsidRPr="00923BB9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 xml:space="preserve">в) </w:t>
      </w:r>
      <w:r w:rsidR="003533B4" w:rsidRPr="00CB4B0B">
        <w:rPr>
          <w:b/>
        </w:rPr>
        <w:t>Честота на поява на нови случаи в определена извадка от популацията в риск</w:t>
      </w:r>
      <w:r w:rsidR="00923BB9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 xml:space="preserve">г) </w:t>
      </w:r>
      <w:r w:rsidR="003533B4" w:rsidRPr="00CB4B0B">
        <w:t>Относителният риск за възникване на заболяване</w:t>
      </w:r>
      <w:r w:rsidRPr="00CB4B0B">
        <w:t xml:space="preserve">    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  <w:rPr>
          <w:lang w:val="en-US"/>
        </w:rPr>
      </w:pPr>
    </w:p>
    <w:p w:rsidR="001E7056" w:rsidRPr="00CB4B0B" w:rsidRDefault="000A3187" w:rsidP="00457BEE">
      <w:pPr>
        <w:pStyle w:val="ListParagraph"/>
        <w:numPr>
          <w:ilvl w:val="0"/>
          <w:numId w:val="3"/>
        </w:numPr>
        <w:spacing w:before="240" w:line="240" w:lineRule="auto"/>
        <w:jc w:val="both"/>
        <w:rPr>
          <w:lang w:val="en-US"/>
        </w:rPr>
      </w:pPr>
      <w:r w:rsidRPr="00CB4B0B">
        <w:t>Етиологичната фракция се измерва като</w:t>
      </w:r>
      <w:r w:rsidR="001E7056" w:rsidRPr="00CB4B0B">
        <w:t>:</w:t>
      </w:r>
    </w:p>
    <w:p w:rsidR="001E7056" w:rsidRPr="00923BB9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 xml:space="preserve">а) </w:t>
      </w:r>
      <w:r w:rsidR="000A3187" w:rsidRPr="00CB4B0B">
        <w:rPr>
          <w:b/>
        </w:rPr>
        <w:t>Съотношение на рисковата разлика и кумулативната заболяемост в рисковата група, изразено в проценти</w:t>
      </w:r>
      <w:r w:rsidR="00923BB9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 xml:space="preserve">б) </w:t>
      </w:r>
      <w:r w:rsidR="000A3187" w:rsidRPr="00CB4B0B">
        <w:t>Разлика между кумулативната заболяемост в рисковата група и кумулативната заболяемост в групата на неекспонираните  лица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 xml:space="preserve">в) </w:t>
      </w:r>
      <w:r w:rsidR="00ED4384" w:rsidRPr="00CB4B0B">
        <w:t>Съотношение на кумулативната заболяемост в рисковата група и кумулативната заболяемост в групата на неекспонираните лица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 xml:space="preserve">г) </w:t>
      </w:r>
      <w:r w:rsidR="00ED4384" w:rsidRPr="00CB4B0B">
        <w:t xml:space="preserve">Съотношение между разликата от кумулативната заболяемост сред цялата популация и тази в групата на неекспонираните </w:t>
      </w:r>
      <w:r w:rsidR="00707F7A" w:rsidRPr="00CB4B0B">
        <w:t>лица спрямо кумулативната заболяемост в рисковата група, изразено в проценти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17426" w:rsidP="00457BEE">
      <w:pPr>
        <w:pStyle w:val="ListParagraph"/>
        <w:numPr>
          <w:ilvl w:val="0"/>
          <w:numId w:val="3"/>
        </w:numPr>
        <w:spacing w:before="240" w:line="240" w:lineRule="auto"/>
        <w:jc w:val="both"/>
        <w:rPr>
          <w:lang w:val="en-US"/>
        </w:rPr>
      </w:pPr>
      <w:r w:rsidRPr="00CB4B0B">
        <w:t>Относителният риск се измерва като: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  <w:rPr>
          <w:b/>
        </w:rPr>
      </w:pPr>
      <w:r w:rsidRPr="00CB4B0B">
        <w:t>а)</w:t>
      </w:r>
      <w:r w:rsidRPr="00CB4B0B">
        <w:rPr>
          <w:b/>
        </w:rPr>
        <w:t xml:space="preserve"> </w:t>
      </w:r>
      <w:r w:rsidR="00117426" w:rsidRPr="00CB4B0B">
        <w:t>Съотношение на рисковата разлика и кумулативната заболяемост в рисковата група, изразено в проценти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 xml:space="preserve">б) </w:t>
      </w:r>
      <w:r w:rsidR="00015ADD" w:rsidRPr="00CB4B0B">
        <w:t>Разлика между кумулативната заболяемост в рисковата група и кумулативната заболяемост в групата на неекспонираните  лица</w:t>
      </w:r>
    </w:p>
    <w:p w:rsidR="001E7056" w:rsidRPr="00923BB9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 xml:space="preserve">в) </w:t>
      </w:r>
      <w:r w:rsidR="00015ADD" w:rsidRPr="00CB4B0B">
        <w:rPr>
          <w:b/>
        </w:rPr>
        <w:t>Съотношение на кумулативната заболяемост в рисковата група и кумулативната заболяемост в групата на неекспонираните лица</w:t>
      </w:r>
      <w:r w:rsidR="00923BB9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 xml:space="preserve">г) </w:t>
      </w:r>
      <w:r w:rsidR="00015ADD" w:rsidRPr="00CB4B0B">
        <w:t>Съотношение между разликата от кумулативната заболяемост сред цялата популация и тази в групата на неекспонираните лица спрямо кумулативната заболяемост в рисковата група, изразено в проценти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015ADD" w:rsidP="00457BEE">
      <w:pPr>
        <w:pStyle w:val="ListParagraph"/>
        <w:numPr>
          <w:ilvl w:val="0"/>
          <w:numId w:val="3"/>
        </w:numPr>
        <w:spacing w:before="240" w:line="240" w:lineRule="auto"/>
        <w:jc w:val="both"/>
      </w:pPr>
      <w:r w:rsidRPr="00CB4B0B">
        <w:t>Аналитичните епидемиологични проучвания включват</w:t>
      </w:r>
      <w:r w:rsidR="001E7056" w:rsidRPr="00CB4B0B">
        <w:t>: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 xml:space="preserve">а) </w:t>
      </w:r>
      <w:r w:rsidR="00015ADD" w:rsidRPr="00CB4B0B">
        <w:t>Рандомизирани клинични изпитвания</w:t>
      </w:r>
    </w:p>
    <w:p w:rsidR="001E7056" w:rsidRPr="00923BB9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 xml:space="preserve">б) </w:t>
      </w:r>
      <w:r w:rsidR="00015ADD" w:rsidRPr="00CB4B0B">
        <w:rPr>
          <w:b/>
        </w:rPr>
        <w:t>Проучвания на причинни зависимости</w:t>
      </w:r>
      <w:r w:rsidR="00923BB9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 xml:space="preserve">в) </w:t>
      </w:r>
      <w:r w:rsidR="00015ADD" w:rsidRPr="00CB4B0B">
        <w:t>Полеви експериментални изпитвания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 xml:space="preserve">г) </w:t>
      </w:r>
      <w:r w:rsidR="00015ADD" w:rsidRPr="00CB4B0B">
        <w:t>Популационни интервенционални изпитвания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F32371" w:rsidP="00457BEE">
      <w:pPr>
        <w:pStyle w:val="ListParagraph"/>
        <w:numPr>
          <w:ilvl w:val="0"/>
          <w:numId w:val="3"/>
        </w:numPr>
        <w:spacing w:before="240" w:line="240" w:lineRule="auto"/>
        <w:jc w:val="both"/>
      </w:pPr>
      <w:r w:rsidRPr="00CB4B0B">
        <w:t>Методите за изучаване на причинни зависимости включват</w:t>
      </w:r>
      <w:r w:rsidR="001E7056" w:rsidRPr="00CB4B0B">
        <w:t>: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 xml:space="preserve">а) </w:t>
      </w:r>
      <w:r w:rsidR="00F32371" w:rsidRPr="00CB4B0B">
        <w:t>Определяне на максималната стохастична грешка</w:t>
      </w:r>
    </w:p>
    <w:p w:rsidR="001E7056" w:rsidRPr="00923BB9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 xml:space="preserve">б) </w:t>
      </w:r>
      <w:r w:rsidR="00F32371" w:rsidRPr="00CB4B0B">
        <w:rPr>
          <w:b/>
        </w:rPr>
        <w:t>Корелационен анализ</w:t>
      </w:r>
      <w:r w:rsidR="00923BB9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 xml:space="preserve">в) </w:t>
      </w:r>
      <w:r w:rsidR="00F32371" w:rsidRPr="00CB4B0B">
        <w:t xml:space="preserve">Гаранционен </w:t>
      </w:r>
      <w:r w:rsidR="00F32371" w:rsidRPr="00CB4B0B">
        <w:rPr>
          <w:lang w:val="en-US"/>
        </w:rPr>
        <w:t>(</w:t>
      </w:r>
      <w:r w:rsidR="00F32371" w:rsidRPr="00CB4B0B">
        <w:t>доверителен</w:t>
      </w:r>
      <w:r w:rsidR="00F32371" w:rsidRPr="00CB4B0B">
        <w:rPr>
          <w:lang w:val="en-US"/>
        </w:rPr>
        <w:t>)</w:t>
      </w:r>
      <w:r w:rsidR="00F32371" w:rsidRPr="00CB4B0B">
        <w:t xml:space="preserve"> коефициент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 xml:space="preserve">г) </w:t>
      </w:r>
      <w:r w:rsidR="00F32371" w:rsidRPr="00CB4B0B">
        <w:t>Стандартно отклонение на средната величина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B94EA6" w:rsidP="00457BEE">
      <w:pPr>
        <w:pStyle w:val="ListParagraph"/>
        <w:numPr>
          <w:ilvl w:val="0"/>
          <w:numId w:val="3"/>
        </w:numPr>
        <w:spacing w:before="240" w:line="240" w:lineRule="auto"/>
        <w:ind w:hanging="436"/>
        <w:jc w:val="both"/>
      </w:pPr>
      <w:r w:rsidRPr="00CB4B0B">
        <w:t>Стандартната грешка на средната величина се изчислява като</w:t>
      </w:r>
      <w:r w:rsidR="001E7056" w:rsidRPr="00CB4B0B">
        <w:t>:</w:t>
      </w:r>
    </w:p>
    <w:p w:rsidR="001E7056" w:rsidRPr="00923BB9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 xml:space="preserve">а) </w:t>
      </w:r>
      <w:r w:rsidR="00B94EA6" w:rsidRPr="00CB4B0B">
        <w:rPr>
          <w:b/>
        </w:rPr>
        <w:t>Съотношение на стандартното отклонение на средната величина и броя случаи в извадката</w:t>
      </w:r>
      <w:r w:rsidR="00923BB9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 xml:space="preserve">б) </w:t>
      </w:r>
      <w:r w:rsidR="00B94EA6" w:rsidRPr="00CB4B0B">
        <w:t xml:space="preserve">Произведение на стандартната грешка на средната величина и критерия на </w:t>
      </w:r>
      <w:r w:rsidR="00B94EA6" w:rsidRPr="00CB4B0B">
        <w:rPr>
          <w:lang w:val="en-US"/>
        </w:rPr>
        <w:t>Student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 xml:space="preserve">в) </w:t>
      </w:r>
      <w:r w:rsidR="00B94EA6" w:rsidRPr="00CB4B0B">
        <w:t>Интервал обхващащ стойностите от средната величина минус максимална стохастична грешка до средната величина плюс максималната стохастична грешка</w:t>
      </w:r>
    </w:p>
    <w:p w:rsidR="006D759F" w:rsidRPr="006D759F" w:rsidRDefault="001E7056" w:rsidP="006D759F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t>г)</w:t>
      </w:r>
      <w:r w:rsidRPr="00CB4B0B">
        <w:rPr>
          <w:b/>
        </w:rPr>
        <w:t xml:space="preserve"> </w:t>
      </w:r>
      <w:r w:rsidR="00B94EA6" w:rsidRPr="00CB4B0B">
        <w:t xml:space="preserve">Произведение от квадратите на критерия на </w:t>
      </w:r>
      <w:r w:rsidR="00B94EA6" w:rsidRPr="00CB4B0B">
        <w:rPr>
          <w:lang w:val="en-US"/>
        </w:rPr>
        <w:t xml:space="preserve">Student </w:t>
      </w:r>
      <w:r w:rsidR="00B94EA6" w:rsidRPr="00CB4B0B">
        <w:t>и стандартното отклонение, разделено на квадрата на максималната стохастична грешка</w:t>
      </w:r>
      <w:bookmarkStart w:id="0" w:name="_GoBack"/>
      <w:bookmarkEnd w:id="0"/>
    </w:p>
    <w:p w:rsidR="001E7056" w:rsidRPr="00923BB9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</w:p>
    <w:p w:rsidR="00B94EA6" w:rsidRPr="00CB4B0B" w:rsidRDefault="00B94EA6" w:rsidP="00457BEE">
      <w:pPr>
        <w:pStyle w:val="ListParagraph"/>
        <w:spacing w:before="240" w:line="240" w:lineRule="auto"/>
        <w:jc w:val="both"/>
        <w:rPr>
          <w:b/>
        </w:rPr>
      </w:pPr>
    </w:p>
    <w:p w:rsidR="003551CF" w:rsidRPr="00CB4B0B" w:rsidRDefault="003551CF" w:rsidP="00457BEE">
      <w:pPr>
        <w:pStyle w:val="ListParagraph"/>
        <w:numPr>
          <w:ilvl w:val="0"/>
          <w:numId w:val="3"/>
        </w:numPr>
        <w:tabs>
          <w:tab w:val="left" w:pos="709"/>
        </w:tabs>
        <w:spacing w:before="240" w:line="240" w:lineRule="auto"/>
        <w:ind w:hanging="436"/>
        <w:jc w:val="both"/>
      </w:pPr>
      <w:r w:rsidRPr="00CB4B0B">
        <w:lastRenderedPageBreak/>
        <w:t xml:space="preserve">Статистическите тестове за проверка на хипотези, обхващащи </w:t>
      </w:r>
      <w:r w:rsidR="00CE30D7">
        <w:t>три и повече зависими</w:t>
      </w:r>
      <w:r w:rsidRPr="00CB4B0B">
        <w:t xml:space="preserve"> извадки включват:</w:t>
      </w:r>
    </w:p>
    <w:p w:rsidR="003551CF" w:rsidRPr="00CB4B0B" w:rsidRDefault="003551CF" w:rsidP="00457BEE">
      <w:pPr>
        <w:pStyle w:val="ListParagraph"/>
        <w:spacing w:before="240" w:line="240" w:lineRule="auto"/>
        <w:jc w:val="both"/>
        <w:rPr>
          <w:lang w:val="en-US"/>
        </w:rPr>
      </w:pPr>
      <w:r w:rsidRPr="00CB4B0B">
        <w:t xml:space="preserve">а) Критерий на </w:t>
      </w:r>
      <w:r w:rsidRPr="00CB4B0B">
        <w:rPr>
          <w:lang w:val="en-US"/>
        </w:rPr>
        <w:t>Mann-</w:t>
      </w:r>
      <w:proofErr w:type="spellStart"/>
      <w:r w:rsidRPr="00CB4B0B">
        <w:rPr>
          <w:lang w:val="en-US"/>
        </w:rPr>
        <w:t>Withney</w:t>
      </w:r>
      <w:proofErr w:type="spellEnd"/>
    </w:p>
    <w:p w:rsidR="003551CF" w:rsidRPr="00CB4B0B" w:rsidRDefault="003551CF" w:rsidP="00457BEE">
      <w:pPr>
        <w:pStyle w:val="ListParagraph"/>
        <w:spacing w:before="240" w:line="240" w:lineRule="auto"/>
        <w:jc w:val="both"/>
      </w:pPr>
      <w:r w:rsidRPr="00CB4B0B">
        <w:t xml:space="preserve">б) Тест на </w:t>
      </w:r>
      <w:r w:rsidRPr="00CB4B0B">
        <w:rPr>
          <w:lang w:val="en-US"/>
        </w:rPr>
        <w:t>Wilcoxon</w:t>
      </w:r>
    </w:p>
    <w:p w:rsidR="003551CF" w:rsidRPr="00CB4B0B" w:rsidRDefault="003551CF" w:rsidP="00457BEE">
      <w:pPr>
        <w:pStyle w:val="ListParagraph"/>
        <w:spacing w:before="240" w:line="240" w:lineRule="auto"/>
        <w:jc w:val="both"/>
        <w:rPr>
          <w:lang w:val="en-US"/>
        </w:rPr>
      </w:pPr>
      <w:r w:rsidRPr="00CB4B0B">
        <w:t xml:space="preserve">в) Тест на </w:t>
      </w:r>
      <w:r w:rsidRPr="00CB4B0B">
        <w:rPr>
          <w:lang w:val="en-US"/>
        </w:rPr>
        <w:t xml:space="preserve">Mc </w:t>
      </w:r>
      <w:proofErr w:type="spellStart"/>
      <w:r w:rsidRPr="00CB4B0B">
        <w:rPr>
          <w:lang w:val="en-US"/>
        </w:rPr>
        <w:t>Nemar</w:t>
      </w:r>
      <w:proofErr w:type="spellEnd"/>
    </w:p>
    <w:p w:rsidR="003551CF" w:rsidRPr="00CB4B0B" w:rsidRDefault="003551CF" w:rsidP="00457BEE">
      <w:pPr>
        <w:pStyle w:val="ListParagraph"/>
        <w:spacing w:before="240" w:line="240" w:lineRule="auto"/>
        <w:jc w:val="both"/>
        <w:rPr>
          <w:b/>
        </w:rPr>
      </w:pPr>
      <w:r w:rsidRPr="00CB4B0B">
        <w:rPr>
          <w:b/>
        </w:rPr>
        <w:t xml:space="preserve">г) Тест на </w:t>
      </w:r>
      <w:r w:rsidRPr="00CB4B0B">
        <w:rPr>
          <w:b/>
          <w:lang w:val="en-US"/>
        </w:rPr>
        <w:t>Cochran</w:t>
      </w:r>
      <w:r w:rsidR="00923BB9">
        <w:rPr>
          <w:b/>
          <w:lang w:val="en-US"/>
        </w:rPr>
        <w:t>*</w:t>
      </w:r>
    </w:p>
    <w:p w:rsidR="00120C84" w:rsidRPr="00CB4B0B" w:rsidRDefault="00120C84" w:rsidP="00457BEE">
      <w:pPr>
        <w:pStyle w:val="ListParagraph"/>
        <w:spacing w:before="240" w:line="240" w:lineRule="auto"/>
        <w:jc w:val="both"/>
        <w:rPr>
          <w:b/>
        </w:rPr>
      </w:pPr>
    </w:p>
    <w:p w:rsidR="003551CF" w:rsidRPr="00CB4B0B" w:rsidRDefault="003551CF" w:rsidP="00457BEE">
      <w:pPr>
        <w:pStyle w:val="ListParagraph"/>
        <w:spacing w:before="240" w:line="240" w:lineRule="auto"/>
        <w:jc w:val="both"/>
        <w:rPr>
          <w:lang w:val="en-US"/>
        </w:rPr>
      </w:pPr>
    </w:p>
    <w:p w:rsidR="00120C84" w:rsidRPr="00CB4B0B" w:rsidRDefault="00120C84" w:rsidP="00457BEE">
      <w:pPr>
        <w:pStyle w:val="ListParagraph"/>
        <w:numPr>
          <w:ilvl w:val="0"/>
          <w:numId w:val="3"/>
        </w:numPr>
        <w:tabs>
          <w:tab w:val="left" w:pos="709"/>
        </w:tabs>
        <w:spacing w:before="240" w:line="240" w:lineRule="auto"/>
        <w:ind w:hanging="436"/>
        <w:jc w:val="both"/>
      </w:pPr>
      <w:r w:rsidRPr="00CB4B0B">
        <w:t>Методите за оценяване на загубената производителност включват:</w:t>
      </w:r>
    </w:p>
    <w:p w:rsidR="00120C84" w:rsidRPr="00CB4B0B" w:rsidRDefault="00120C84" w:rsidP="00457BEE">
      <w:pPr>
        <w:pStyle w:val="ListParagraph"/>
        <w:spacing w:before="240" w:line="240" w:lineRule="auto"/>
        <w:jc w:val="both"/>
        <w:rPr>
          <w:lang w:val="en-US"/>
        </w:rPr>
      </w:pPr>
      <w:r w:rsidRPr="00CB4B0B">
        <w:t xml:space="preserve">а) </w:t>
      </w:r>
      <w:r w:rsidRPr="00CB4B0B">
        <w:rPr>
          <w:lang w:val="en-US"/>
        </w:rPr>
        <w:t xml:space="preserve">F - </w:t>
      </w:r>
      <w:r w:rsidRPr="00CB4B0B">
        <w:t xml:space="preserve">критерии на </w:t>
      </w:r>
      <w:r w:rsidRPr="00CB4B0B">
        <w:rPr>
          <w:lang w:val="en-US"/>
        </w:rPr>
        <w:t>Fischer</w:t>
      </w:r>
    </w:p>
    <w:p w:rsidR="00120C84" w:rsidRPr="00CB4B0B" w:rsidRDefault="00120C84" w:rsidP="00457BEE">
      <w:pPr>
        <w:pStyle w:val="ListParagraph"/>
        <w:spacing w:before="240" w:line="240" w:lineRule="auto"/>
        <w:jc w:val="both"/>
        <w:rPr>
          <w:lang w:val="en-US"/>
        </w:rPr>
      </w:pPr>
      <w:r w:rsidRPr="00CB4B0B">
        <w:t xml:space="preserve">б) Тест на </w:t>
      </w:r>
      <w:r w:rsidRPr="00CB4B0B">
        <w:rPr>
          <w:lang w:val="en-US"/>
        </w:rPr>
        <w:t>Pearson</w:t>
      </w:r>
    </w:p>
    <w:p w:rsidR="00120C84" w:rsidRPr="00CB4B0B" w:rsidRDefault="00120C84" w:rsidP="00457BEE">
      <w:pPr>
        <w:pStyle w:val="ListParagraph"/>
        <w:spacing w:before="240" w:line="240" w:lineRule="auto"/>
        <w:jc w:val="both"/>
        <w:rPr>
          <w:lang w:val="en-US"/>
        </w:rPr>
      </w:pPr>
      <w:r w:rsidRPr="00CB4B0B">
        <w:t xml:space="preserve">в) Тест на </w:t>
      </w:r>
      <w:r w:rsidRPr="00CB4B0B">
        <w:rPr>
          <w:lang w:val="en-US"/>
        </w:rPr>
        <w:t>Cochran</w:t>
      </w:r>
    </w:p>
    <w:p w:rsidR="00120C84" w:rsidRPr="00923BB9" w:rsidRDefault="00120C84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>г) Метод на фрикционен разход</w:t>
      </w:r>
      <w:r w:rsidR="00923BB9">
        <w:rPr>
          <w:b/>
          <w:lang w:val="en-US"/>
        </w:rPr>
        <w:t>*</w:t>
      </w:r>
    </w:p>
    <w:p w:rsidR="00B94EA6" w:rsidRPr="00CB4B0B" w:rsidRDefault="00B94EA6" w:rsidP="00457BEE">
      <w:pPr>
        <w:pStyle w:val="ListParagraph"/>
        <w:spacing w:before="240" w:line="240" w:lineRule="auto"/>
        <w:jc w:val="both"/>
        <w:rPr>
          <w:b/>
        </w:rPr>
      </w:pPr>
    </w:p>
    <w:sectPr w:rsidR="00B94EA6" w:rsidRPr="00CB4B0B" w:rsidSect="00F073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5B4" w:rsidRDefault="00BC45B4" w:rsidP="00BD4872">
      <w:pPr>
        <w:spacing w:line="240" w:lineRule="auto"/>
      </w:pPr>
      <w:r>
        <w:separator/>
      </w:r>
    </w:p>
  </w:endnote>
  <w:endnote w:type="continuationSeparator" w:id="0">
    <w:p w:rsidR="00BC45B4" w:rsidRDefault="00BC45B4" w:rsidP="00BD48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872" w:rsidRDefault="00BD48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67533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4872" w:rsidRDefault="00BD487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759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BD4872" w:rsidRDefault="00BD487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872" w:rsidRDefault="00BD48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5B4" w:rsidRDefault="00BC45B4" w:rsidP="00BD4872">
      <w:pPr>
        <w:spacing w:line="240" w:lineRule="auto"/>
      </w:pPr>
      <w:r>
        <w:separator/>
      </w:r>
    </w:p>
  </w:footnote>
  <w:footnote w:type="continuationSeparator" w:id="0">
    <w:p w:rsidR="00BC45B4" w:rsidRDefault="00BC45B4" w:rsidP="00BD48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872" w:rsidRDefault="00BD48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872" w:rsidRDefault="00BD487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872" w:rsidRDefault="00BD48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A1CBC"/>
    <w:multiLevelType w:val="hybridMultilevel"/>
    <w:tmpl w:val="56AEC34E"/>
    <w:lvl w:ilvl="0" w:tplc="0402000F">
      <w:start w:val="6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65E4539"/>
    <w:multiLevelType w:val="hybridMultilevel"/>
    <w:tmpl w:val="82CE854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CFB7933"/>
    <w:multiLevelType w:val="hybridMultilevel"/>
    <w:tmpl w:val="0ACE0514"/>
    <w:lvl w:ilvl="0" w:tplc="AC12DF46">
      <w:start w:val="100"/>
      <w:numFmt w:val="decimal"/>
      <w:lvlText w:val="%1."/>
      <w:lvlJc w:val="left"/>
      <w:pPr>
        <w:ind w:left="1104" w:hanging="384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7F5524C8"/>
    <w:multiLevelType w:val="hybridMultilevel"/>
    <w:tmpl w:val="85AA717A"/>
    <w:lvl w:ilvl="0" w:tplc="0402000F">
      <w:start w:val="6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3AD"/>
    <w:rsid w:val="00015ADD"/>
    <w:rsid w:val="00021EED"/>
    <w:rsid w:val="00061063"/>
    <w:rsid w:val="000927DA"/>
    <w:rsid w:val="00092C86"/>
    <w:rsid w:val="000A3187"/>
    <w:rsid w:val="00116804"/>
    <w:rsid w:val="00117426"/>
    <w:rsid w:val="00120C84"/>
    <w:rsid w:val="001A4E4D"/>
    <w:rsid w:val="001D0308"/>
    <w:rsid w:val="001E7056"/>
    <w:rsid w:val="001F5B68"/>
    <w:rsid w:val="00232E1D"/>
    <w:rsid w:val="002616E4"/>
    <w:rsid w:val="00300EFA"/>
    <w:rsid w:val="00305F0E"/>
    <w:rsid w:val="003533B4"/>
    <w:rsid w:val="003551CF"/>
    <w:rsid w:val="00363968"/>
    <w:rsid w:val="00383B47"/>
    <w:rsid w:val="003A3339"/>
    <w:rsid w:val="003B175F"/>
    <w:rsid w:val="003D521F"/>
    <w:rsid w:val="003F1E2C"/>
    <w:rsid w:val="004071F8"/>
    <w:rsid w:val="00430E60"/>
    <w:rsid w:val="0044271D"/>
    <w:rsid w:val="00457BEE"/>
    <w:rsid w:val="004A008F"/>
    <w:rsid w:val="004D6192"/>
    <w:rsid w:val="004E55F9"/>
    <w:rsid w:val="005353AD"/>
    <w:rsid w:val="005814D8"/>
    <w:rsid w:val="005A6DE9"/>
    <w:rsid w:val="00615083"/>
    <w:rsid w:val="00631C02"/>
    <w:rsid w:val="0065659C"/>
    <w:rsid w:val="00661AFF"/>
    <w:rsid w:val="006D759F"/>
    <w:rsid w:val="00702165"/>
    <w:rsid w:val="00707F7A"/>
    <w:rsid w:val="00756C2C"/>
    <w:rsid w:val="00761003"/>
    <w:rsid w:val="00765661"/>
    <w:rsid w:val="007D30B0"/>
    <w:rsid w:val="008465D2"/>
    <w:rsid w:val="00852216"/>
    <w:rsid w:val="00923BB9"/>
    <w:rsid w:val="009343DC"/>
    <w:rsid w:val="00961312"/>
    <w:rsid w:val="00965AEF"/>
    <w:rsid w:val="009B2A25"/>
    <w:rsid w:val="00A30765"/>
    <w:rsid w:val="00A719DC"/>
    <w:rsid w:val="00AE71E4"/>
    <w:rsid w:val="00AF2789"/>
    <w:rsid w:val="00B05662"/>
    <w:rsid w:val="00B06535"/>
    <w:rsid w:val="00B20F90"/>
    <w:rsid w:val="00B4005B"/>
    <w:rsid w:val="00B94EA6"/>
    <w:rsid w:val="00BC45B4"/>
    <w:rsid w:val="00BD4872"/>
    <w:rsid w:val="00BD6B2A"/>
    <w:rsid w:val="00BD7533"/>
    <w:rsid w:val="00BE0956"/>
    <w:rsid w:val="00BE4FC7"/>
    <w:rsid w:val="00C52D60"/>
    <w:rsid w:val="00C53634"/>
    <w:rsid w:val="00CA244A"/>
    <w:rsid w:val="00CB4B0B"/>
    <w:rsid w:val="00CE30D7"/>
    <w:rsid w:val="00D03620"/>
    <w:rsid w:val="00D0439A"/>
    <w:rsid w:val="00D77665"/>
    <w:rsid w:val="00DA76F0"/>
    <w:rsid w:val="00E30E90"/>
    <w:rsid w:val="00E507BC"/>
    <w:rsid w:val="00E7767B"/>
    <w:rsid w:val="00EA24B1"/>
    <w:rsid w:val="00ED4384"/>
    <w:rsid w:val="00EE1EE5"/>
    <w:rsid w:val="00EF5021"/>
    <w:rsid w:val="00F0734C"/>
    <w:rsid w:val="00F1032A"/>
    <w:rsid w:val="00F32371"/>
    <w:rsid w:val="00F56D4C"/>
    <w:rsid w:val="00FA4D07"/>
    <w:rsid w:val="00FC671E"/>
    <w:rsid w:val="00FD582F"/>
    <w:rsid w:val="00FE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34C"/>
    <w:pPr>
      <w:spacing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353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487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872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D487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872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34C"/>
    <w:pPr>
      <w:spacing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353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487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872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D487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87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2117</Words>
  <Characters>12070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ТЕСТ</vt:lpstr>
    </vt:vector>
  </TitlesOfParts>
  <Company>Grizli777</Company>
  <LinksUpToDate>false</LinksUpToDate>
  <CharactersWithSpaces>14159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</dc:title>
  <dc:creator>CL</dc:creator>
  <cp:lastModifiedBy>PC</cp:lastModifiedBy>
  <cp:revision>5</cp:revision>
  <cp:lastPrinted>2014-07-24T09:49:00Z</cp:lastPrinted>
  <dcterms:created xsi:type="dcterms:W3CDTF">2016-09-20T13:32:00Z</dcterms:created>
  <dcterms:modified xsi:type="dcterms:W3CDTF">2016-09-20T13:54:00Z</dcterms:modified>
</cp:coreProperties>
</file>