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F7" w:rsidRPr="000476F7" w:rsidRDefault="000476F7" w:rsidP="000476F7">
      <w:pPr>
        <w:spacing w:before="100" w:beforeAutospacing="1" w:after="100" w:afterAutospacing="1" w:line="36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ИМУННИ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ХЕМОЛИТИЧНИ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АНЕМИИ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(ИХА)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Определение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разпространение.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придобити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всяка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зачестяват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напредване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възрастта.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Етиология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патогенеза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Скъсената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преживяемост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дължи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нарушен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толеранс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образуване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тях.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</w:t>
      </w:r>
      <w:bookmarkStart w:id="0" w:name="_GoBack"/>
      <w:bookmarkEnd w:id="0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класифицират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според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природата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топлинни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антитела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Представляват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IgA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оптимална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37°С.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(10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%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-15%)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насочени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Rh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(предимно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-с).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аглутинация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Макрофагите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рецептори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Fc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фрагмента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имуноглобулините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фракции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комплемента.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Фиксираните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върху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топлинни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опсонинизират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предизвикват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тяхната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фагоцитоза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далачните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чернодробните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макрофаги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(тъканна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възможна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фагоцитоза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мембрана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подлежащия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цитоскелет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резултат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оцеляват,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губят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своята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биконкавна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превръщат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сфероцити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ангажиране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фагоцитозата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винаги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пълна.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Протичането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хронично.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липсват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идиопатични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по-чести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по-възрастни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жени),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провокират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вирусни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бактериални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лимфоми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лимфолевкоза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др.),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колагенози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ревматоиден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артрит,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лупус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еритематодес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карциноми,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СПИН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студови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антитела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Пикът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70-годишна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жените.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IgM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IgA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оптимална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ниски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(4°С-10°С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18°С).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поликлонални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/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Винаги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антителата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причиняват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значителна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хемолиза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новородени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деца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лека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възрастни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върху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еритроцитите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новородени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антигени,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малко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IgM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големи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молекули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лесно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мостове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водейки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тяхната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аглутинация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аглутиниращи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Излагането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аглутинация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кръвоносните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съдове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тялото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(пръстите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крайниците,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носа,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ушите,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бузите,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устните).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попадане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по-топли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тялото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отделят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тях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Отново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тъканна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фагоцитоза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опсонизираните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предимно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черния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дроб,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по-малко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далака.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класическия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терминалния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литичен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С5в6789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terminal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membrane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attack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complex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MAC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интравазална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тази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преодоляват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циркулиращите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инхибитори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комплементарната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система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(С1-естераза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инхибитор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С4в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свързващ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протеин)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механизми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комплемент-медиирана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membrane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inhibitor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reactiv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lysis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decay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accelerating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factor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55).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Идиопатичната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студово-аглутининна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болест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Franck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зачестява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50-годишна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по-редки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инфекция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Mycoplasma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pneumoniae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специфичност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Ebstein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Barr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virus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специфичност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поликлонални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Постинфекциозните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млади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склонни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самоограничаване.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колагенози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карциноми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моноклонални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протичането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хронично,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по-възрастни.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здрави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индивиди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серума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ниски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титри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аглутинини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Внимание: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бъркат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студовите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аглутинини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криоглобулини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Студовите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аглутинини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антитела,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които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причиняват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аглутинация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ниска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температура,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криоглобулините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антитела,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които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агрегират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помежду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ниски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температури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(без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ангажират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еритроцитите).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бифазни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антитела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пароксизмална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студова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хемоглобинурия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)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Съставлява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Donath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Landsteiner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кръвно-групова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антигенна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система,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обикновено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поликлонални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ниски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31°С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(оптимална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4°С)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съдовете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крайниците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заедно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свързват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навлизане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вътрешността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тялото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телесна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37°С,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разгръщане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класическия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терминалния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литичен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С5в678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terminal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membrane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attack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complex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MAC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винаги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масивна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интравазална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Протичането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хронично.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идиопатични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деца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бъде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вирусна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инфекция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(морбили,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ваксинация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морбили,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паротит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инфекциозна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мононуклеоза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инфекция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Cytomegalovirus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Mycoplasma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pnevumoniae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вроден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сифилис.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Обикновено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самоограничава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изчезва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спонтанно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2-3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седмици.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Възможен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рецидив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излагане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ниски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температури.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Лекарство-индуцирани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ИХА.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Почти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винаги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топлинни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Няколко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патогенетичните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механизми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Някои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механизъм.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Хаптенов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механизъм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Прилаганато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лекарство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адсорбира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върху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повърхност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антигенен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протеини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мембрана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(лекарството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играе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роля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хаптен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обикновено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подостра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тъканна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(предимно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слезка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възможна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интравазална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фиксиране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5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b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678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9)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антиглобулинов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Coombs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положителен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Penicillin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млн.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Е/дневно)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цефалоспорини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тетрациклини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Tolbutamide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2).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Имунокомплексен</w:t>
      </w:r>
      <w:proofErr w:type="spellEnd"/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/</w:t>
      </w:r>
      <w:proofErr w:type="spellStart"/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неоантигенен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механизъм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най-честият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механизъм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Прилаганото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лекарство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метаболит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свързва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плазмен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протеин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формират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антиген.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Срещу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образува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антитяло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най-често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IgM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Антителата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свързват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неоантигена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образуват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имунен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комплекс.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фиксира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върху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еритроцитната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мембрана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свързва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комплемент.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Антителата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често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нисък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афинитет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фиксиране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върху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отделят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имунния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комплекс.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Комплементът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активира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формиране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MAC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Хемолизата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обикновено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интравазална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остра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тежка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Понякога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медикамента.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Coombs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обикновено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положителен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С3.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Провокира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медикаменти: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цефалоспорини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тетрациклини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антихистамини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Quinine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Quinidine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Rifampicin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Chlorpromazine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Melphalan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Probenecid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Phenacetin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3).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Автоимунен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механизъм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Прилаганото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лекарство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индуцира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автоантитяло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насочено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Rh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кръвно-групова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система).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тъканна.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Coombs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положителен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α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methyldopa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Честотата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позитивен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Coombs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увеличаване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дозата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обикновено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позитивира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месеца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началото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медикацията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Положителен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Coombs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лекувани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α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methyldopa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изявява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механизъм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провокира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Lev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dopa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Procainamide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Доказването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лекарство-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индуцирана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хемолитична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анемия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трудно.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Обикновено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чрез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изключване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причини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имунна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хемолиза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спиране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съмнителното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лекарство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наблюдение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върху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клиничния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параметрите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хемолизния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синдром.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Клинична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картина.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оплакванията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тъканна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доминира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анемичният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възникнал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внезапно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постепенно.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Понякога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съобщават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тежест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ляво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подребрие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тъмножълта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урина.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Интравазалната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аглутинация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студово-аглутининна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болест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Franck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изявява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циркулаторни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всяко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излагане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ниски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акроцианоза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цианоза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пръстите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ръцете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краката,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носа,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ушните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миди,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бузите),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изтръпване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болезненост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пръстите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ръцете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(синдром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Raynaud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интравазална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висока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треска,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внезапна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отпадналост,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тежест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поясната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корема,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понякога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гадене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повръщане,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тъмночервена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черна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урина.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Съществува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шок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бъбречна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недостатъчност.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прегледа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субиктер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бледи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кожа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видими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лигавици,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евентуално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спленомегалия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Лабораторни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промени.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Лабораторен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Понякога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микросфероцити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натривката.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Ретикулоцитозата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полихромазия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(синьо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оцветяване)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повишение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МСV,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често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границите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нормата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повишените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ретикулоцити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gram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дефицит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фолиева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киселина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хроничните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анемии.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автоимунните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протичат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манифестна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макроцитоза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(силно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МСV,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fl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Диагностицирането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докаже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свързване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имуноглобулин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и/или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директният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антиглобулинов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тест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Coombs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(директен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Coombs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)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който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полиспецифичен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антиглобулинов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серум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човешки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С3)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добавя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промити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Аглутинацията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показва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присъствие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и/или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(С3)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върху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тях.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диференциран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директен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антиглобулинов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тест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Coombs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(прави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моноспецифичен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антиглобулинов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серум),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който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уточнява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точния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фиксираните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IgA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IgM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и/или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методи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оптимум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топлинни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съществуват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динамично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равновесие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плазмата.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топлинни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Coombs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положителен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IgG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положителен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пароксизмална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хемоглобинурия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Coombs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позитивен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Свободните,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нефиксирани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доказват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чрез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индиректния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антиглобулинов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тест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Coombs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(индиректен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Coombs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)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който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серум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инкубира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тест-еритроцити,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които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тестват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аглутинация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чрез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добавяне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антиглобулинов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серум.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позитивира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алоантитела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серума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(формирани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резултат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предишни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трансфузии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и/или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бременности).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Аглутинационен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аглутиниращи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IgM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серума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техния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титър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диапазон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действие.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Серум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инкубира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тест-еритроцити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4°С,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22°С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37°С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търси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степен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аглутинация.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съмнение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пароксизмална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хемоглобинурия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Donath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Landsteiner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тест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бифазни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антитела.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Пресен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серум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комплемент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инкубира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тест-еритроцити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ниска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Сместта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загрява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37°С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хемолизират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затоплянето,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тестът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положителен.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тази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наричат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Лечение.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масивна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интравазална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борба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шока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бъбречна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недостатъчност.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Етиологичното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възможно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симптоматичните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повлияване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премахване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(заболяване,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медикамент),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избягване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ниски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патогенетичното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подтискане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процес.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провежда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кортикостероиди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(1-2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mg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/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kg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дневно)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перорално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парентерално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Тази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терапия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най-ефективна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топлинни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Забележка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Кортикостероидите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влияят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върху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реактивността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антителата,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върху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синтеза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функцията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Fc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рецепторите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върху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макрофагите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по-продължително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приложение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понижават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lastRenderedPageBreak/>
        <w:t>продукцията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антитела,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предимно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далака.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показват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отговор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седмици.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Последва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понижаване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дозата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кортикостерода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отговарят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лечението,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2/3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тях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рецидив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намаляване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кортикостероидното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нужда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имуносупресори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Imuran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Cyclophosphamide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Алтернативни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варианти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Vincristine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Vinblastine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Danazol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плазмафереза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имуноглобулини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венозно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(400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mg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/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kg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дневно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дни)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удължава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преживяемост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насищане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макрофагиалните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Fc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рецептори.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подход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моноклонално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антитяло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Rituximab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Mabthera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)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неовладяем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консервативно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показана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спленектомия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топлинна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50%-60%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спленектомията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отчетлив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начален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ефект.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Заместващото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концентрат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тежък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неовладяващ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застрашаващ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живота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болния.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ИХА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пароксизмална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хемоглобинурия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трансфузирания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концентрат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трябва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37°С.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оптимално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темпериране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трансфузираните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бъдат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разрушени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антителата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пациента.</w:t>
      </w:r>
    </w:p>
    <w:p w:rsidR="000476F7" w:rsidRPr="000476F7" w:rsidRDefault="000476F7" w:rsidP="000476F7">
      <w:pPr>
        <w:spacing w:after="0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съмнение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лекарство-индуцирана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възможни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трябва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преустановят.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достатъчно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самоограничаване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преустяновяване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хемолизата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нужда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трансфузия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концентрат.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кортикостероиди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спорна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ефективност.</w:t>
      </w:r>
    </w:p>
    <w:p w:rsidR="000476F7" w:rsidRPr="000476F7" w:rsidRDefault="000476F7" w:rsidP="000476F7">
      <w:pPr>
        <w:spacing w:after="0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76F7" w:rsidRPr="000476F7" w:rsidRDefault="000476F7" w:rsidP="000476F7">
      <w:pPr>
        <w:spacing w:after="0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476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Малигнени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Хемопатии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Миелодиспластични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синдроми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левкози</w:t>
      </w:r>
      <w:proofErr w:type="spellEnd"/>
    </w:p>
    <w:p w:rsidR="000476F7" w:rsidRPr="000476F7" w:rsidRDefault="000476F7" w:rsidP="000476F7">
      <w:pPr>
        <w:spacing w:before="100" w:beforeAutospacing="1" w:after="100" w:afterAutospacing="1" w:line="299" w:lineRule="atLeast"/>
        <w:ind w:firstLine="397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МАЛИГНЕНИ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ХЕМАТОЛОГИЧНИ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ЗАБОЛЯВАНИЯ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Според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засегнатата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хемопоезата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злокачествените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хематологични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разделят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големи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групи: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миелопролиферативни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(МПЗ)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лимфопролиферативни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Патогенеза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фаза.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хематологични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възприемат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генетични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Възникват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соматични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транслокации,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делеции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инверсии),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които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(протоонкогени)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образуване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(онкогени),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инактивиране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тумор-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супресорни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нарушена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апоптоза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патологични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цитокини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онкопротеини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иницииращи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Забележка: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Налага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разбирането,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че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единична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мутация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достатъчна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възникване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патологичен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клон.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Малигнената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клетъчна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пролиферация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възниква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резултат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взаимодействието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множество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родоначалната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туморна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клетка.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Обособяват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два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класа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мутации.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Мутации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клас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засягат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гените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кодиращи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тирозинкиназите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които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стимулират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растежен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фактор-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зависимата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пролиферация,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оставят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диференциацията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относително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запазена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Тези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мутации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имат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водеща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роля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МПЗ.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Мутации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клас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препятстват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или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нарушават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активността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един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или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повече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траскрипционни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фактори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които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са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необходими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нормалната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диференциация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Този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клас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мутации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установяват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повечето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остри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левкози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възникването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острите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левкози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допуска,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че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необходимо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паралелно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наличие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мутации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клас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клас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2,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които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водят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едновременно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до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усилена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пролиферация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блокирана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диференциация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фаза.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Прогресираща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неконтролирана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пролиферация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стимулиращото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влияние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патологични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цитокини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Дотук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лабораторна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заболяването,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ясна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продължителността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фази.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фаза.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Туморната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достига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критична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граница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(над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появяват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лабораторните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симптоми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хемопатия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ангажирането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стесняване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подтискане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хемопоеза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Намалява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броят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Разгръщат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заболяването.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особеност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склонността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(туморна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прогресия)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злокачествения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своята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еволюция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достатъчна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преживяемост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трансформира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Селектира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който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терапевтично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резистентен.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обяснява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нестабилния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геном,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склонен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спонтанно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така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мутагенното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влияние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химио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лъчетерапия.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редица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хематологични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солидни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неоплазми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(карциноми).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МИЕЛОДИСПЛАСТИЧНИ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СИНДРОМИ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(МДС)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Определение.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Патологични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клонални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пролиферации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миелоидни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предшественици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(според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хемопоетичната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стволова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клетка),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характеризиращи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моно-,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би-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панцитопения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тромбоцитоза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хипер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нормоцелуларен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хипопластен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нарушено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съзряване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една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редици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Разпространение.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души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годишно.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Боледуват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хора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(средна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зачестява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напредване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души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деца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млади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хора.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мъжете.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Етиология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патогенеза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Етиологията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неясна.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фактори: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напреднала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предшестваща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лъчетерапия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и/или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цитостазно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алкилиращи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Chlorambucil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Cyclophosphamide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пик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4-10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епиподофилотоксини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Etoposode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Teniposide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пик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продължителен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контакт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бензол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разтворители.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ранните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миелоидни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прогенитори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които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неефективна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хемопоеза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клетки-предшественици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загиват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преждевременно,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продуцират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линии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диспластични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промени.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Диспластичните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зрели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скъсена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преживяемост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функционална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недостатъчност.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Класификация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включват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предлевкозни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състояния"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разностепенни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хемопоезата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Според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FAB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(Френско-американско-британската)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1982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рефрактерна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(РА),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рефрактерна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ринг-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сидеробласти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(ринг-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сидербласти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наричат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сидеробластите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повече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желязосъдържащи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гранули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цитоплазмата)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(РАРС),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рефрактерна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излишък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(РАИБ),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рефрактерна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излишък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(РАИБ-т)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моноцитна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(ХММЛ).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позволява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разграничаването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"факултативни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предлевкози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РАРС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облигатни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предлевкози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олигобластни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РАИБ,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РАИБ-т,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ХММЛ.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РАРС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пролиферация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костномозъчни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стволови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клетки/или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миелоидни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прогенитори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РАИБ,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РАИБ-т,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ХММЛ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клонални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пролиферации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костномозъчни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стволови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клетки/или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миелоидни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прогенитори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отсъствие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разностепенно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Световната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Здравна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(СЗО)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въведе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по-детайлна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разделят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(възникнали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de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novo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химио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/или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лъчетерапия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вкл.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хемопатии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Клинична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картина.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асимптомни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диагностициране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разностепенен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(над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80%).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инфекции,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понякога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петехиално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-петнист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тип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хеморагична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диатеза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хиперметаболитен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фебрилитет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консумативен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обилно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потене).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по-дълга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преживяемост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прогресираща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посттрасфузионна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хемосидероза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прегледа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спленомегалия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Лабораторни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промени.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макро-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нормоцитна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самостоятелна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комбинация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левкопения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и/или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тромбоцитопения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50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%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-60%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левкопения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неутропения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ХММЛ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левкоцитоза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абсолютна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моноцитоза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Тромбоцитопения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40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%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-60%.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Изолирана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тромбоцитопения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Тромбоцитоза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q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диспластични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неутрофили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хипосегментирани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еритробласти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следствие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съответната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цитопения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функционалните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линии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(дори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когато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брой).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Еритроцитите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скъсена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продължителност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живот,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тромбоцитите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гранулоцитите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функционално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непълноценни.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Серумното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желязо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повишено,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ТЖСК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понижен.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Цитогенетични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аномалии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40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%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-70%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80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%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-90%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q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q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5-,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7-,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8+,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q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костномозъчния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аспират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установяват: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повишена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хипопластен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мегалобластна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еритропоеза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нарушено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съзряване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гранулопоезата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доминиране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по-младите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фази,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диспластични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мегакариоцити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микроформи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FAB,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СЗО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класификация),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разраснала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моноцитна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редица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ХММЛ.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Диагнозата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подкрепя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трепанобиопсия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Диференциална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диагноза.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хематологични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протичащи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моно-,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би-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панцитопения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моноцитоза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спленомегалия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Лечение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прогноза.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концентрат,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растежни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Еро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G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CSF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железен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хелатор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РАИБ,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РАИБ-т,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ХММЛ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полихимиотерапия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костномозъчна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трансплантация.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нелечими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трансформират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завършват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фатално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инфекция,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хеморагия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хемосидероза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По-кратка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преживяемостта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обикновено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терапевтичният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отговор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лош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преживяемостта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няколко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месеца.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ОСТРА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ЛЕВКОЗА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(ОЛ)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LEUCOSIS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ACUTA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Определение.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би-)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пролиферация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прогенитори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лимфопоезата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Беше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доказано,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дълъг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латентен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безсимптомен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"острата"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изява.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предпочита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названието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по-адекватно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същността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матурационен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дефект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пролиферация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(незрели)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съответната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линия.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Термините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синоними.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lastRenderedPageBreak/>
        <w:t>Разпространение.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нелимфобластни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(ОМЛ)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предимно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(85%-90%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случаи)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души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годишно.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Зачестяват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хора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смъртност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тях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САЩ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2,2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000.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(ОЛЛ)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засягат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предимно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детската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75%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20%-25%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детска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тази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група.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Честотата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децата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4,8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души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максимум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5-годишна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1,1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души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(пик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15-24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напреднала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засягат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мъжкия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Етиология.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отдава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онкогени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хромозомните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аномалии.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Точният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молекулярен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произход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неизвестен.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известните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бензол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производни,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хербициди,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етиленови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оксиди;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йонизираща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радиация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(по-висока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преживелите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атомните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бомбардировки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Япония,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по-висока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болест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Бехтерев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лекувани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лъчетерапия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гръбначен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стълб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1935-1954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год.).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боледуват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пушачите.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Вродени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Down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тризомия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21),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Bloom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Fanconi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атаксия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телеангиектазия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Kostmann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linefelter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Миелопролиферативните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костномозъчната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аплазия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пароксизмалната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нощна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хемоглобинурия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прогресират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Терапията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малигноми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Алкилиращи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Cyclophosphamide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Chlorambucil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Melphalan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Busulfan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Левкемогенезата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преминава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10-годишен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асоциират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делеции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хромозоми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множествени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цитогенетични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промени);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Топоизомераза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инхибитори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епиподофилотоксини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напр.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Etoposide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Teniposide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Doxorubicine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(Липсва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предшестваща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МДС,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по-къс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латентен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период;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цитогенетични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промени,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засягащи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дългото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хромозома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11q,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ОМЛ);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Лъчетерапия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(самостоятелно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комбинация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химиотерапия).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Фамилност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по-висока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честота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еднояйчни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близнаци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известните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Вродени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индром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Down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по-висок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др.).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Наследствено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предразположение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(кръвни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родственици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коляно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братя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сестри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по-висок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монозиготен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/еднояйчен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близнак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по-висок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Вирусни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(вирус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Ebstein-Barr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mature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cell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др.).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отдава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вродения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придобит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дефицит.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същото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време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фактори.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Патогенеза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Патофизиологичните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механизми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множествени,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действат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заедно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вероятно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типове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придобити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соматични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увреждат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транскрипционните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които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необходими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диференциация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хемопоетичните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прогенитори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едни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предизвикват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хромозомни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реаранжирания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които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създават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фузионни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онкогени,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патогенните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генетични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аномалии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финни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точкови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делеции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Ретроспективни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изследвания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проби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новородени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използване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PCR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показват,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редица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транскрипционни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раждането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деца,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които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10-12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по-късно.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Изглежда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дълъг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продромален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време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който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прелевкемичните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клонове,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възникнали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инициална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мутация/мутации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транскрибционен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трябва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добият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соматични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разгръщане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болестта.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подкрепят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хипотезата,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според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необходими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последователни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едновременни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събития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мутация,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патологично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пролиферацията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транскрибционен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блокира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диференциацията.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онкогени,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кодиращи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онкопротеини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тирозинкиназна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активност.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доминират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генезата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МПЗ.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Вероятно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видове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комбинации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двата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класа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тумор-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супресорни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Характеристиката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геном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водеща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роля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прогнозата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конкретния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предсказва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изхода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конвенционалното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страна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мутиралите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протеини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прицел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модерната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бързо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развиваща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таргетна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терапия.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Класификация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класифицират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според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критериите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FAB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-класификация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(1982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год.).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разделя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големи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групи: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миелоидни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нелимфобластни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лимфобластни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Клетъчни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варианти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миелоидна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недиференцирана,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матурация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матурация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промиелоцитна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моноцитна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монобластна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еритробластна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мегакариобластна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варианти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доминират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доминират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големи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базофилна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(синя)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вакуолизирана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цитоплазма.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най-честият,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най-редкият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вариант.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клонална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пролиферация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лимфоидната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прекурсорна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Съществува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класификация,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базира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имунофенотипната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цитохимичната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цитогенетичната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характеристика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лимфобластите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предшественици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В-лимфоцитите,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Т-лимфоцитите.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тип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Пикът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честотата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3-годишна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когато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максимумът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костномозъчна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продукция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В-лимфоцити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индивидуалното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Т-ОЛЛ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Пикът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15-годишна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съвпада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времето,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когато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тимусът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достига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най-големия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размер.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детска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1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намалява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декада.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40-годишна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започва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нараства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2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достига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честотата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детска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Заболяването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характеристика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децата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възрастните.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СЗО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предложи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по-детайлни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лимфобластните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Клинична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картина.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липса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ясни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оплаквания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тежко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състояние.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костномозъчната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инфилтрация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според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степента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фебрилно-интоксикационен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инфекция,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специфична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температура),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хеморагична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диатеза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тромбоцитопения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сравнително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артралгия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осалгия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инфилтрация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синовия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периост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Прояви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левкостаза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хипервискозитет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установяват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най-често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левкоцитен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х10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9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/l,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по-вероятно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х10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9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/l: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Церебралната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левкостаза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изявява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главоболие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обърканост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нарушен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визус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Белодробната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левкостаза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задух,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белодробни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инфилтрати.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Възможни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нарушена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бъбреци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черен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др.).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Левкостазата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по-честа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отколкото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обяснява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по-големия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експресията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адхезионни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протеини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Някои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варианти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особености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клиничната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изява.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(остра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промиелоцитна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протича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дисеминирана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интравазална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коагулация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характеристика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подостър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хроничен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синдром).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Причината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прокоагуланти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освобождавани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абнормните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гранули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дебютира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панцитопения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(остра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моноцитоидна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подчертана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склонност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инфилтриране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меките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тъкани.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Типична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хипертрофичният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гингивит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левкемиди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(кожни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инфилтрати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Първичното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засягане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ЦНС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среща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5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(остра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мегакариобластна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протича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панцитопения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костномозъчна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фиброза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понякога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нарича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"остра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миелофиброза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Т-ОЛЛ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асоциира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хиперлевкоцитоза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манифестна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медиастинална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лимфаденомегалия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плеврални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изливи,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спленомегалия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първично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ангажиране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ЦНС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(5%)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оплаквания,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свързани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интракраниално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налягане: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главоболие,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гадене,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повръщане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пареза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черепно-мозъчни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нерви.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първично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ангажиране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тестиси,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очи,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кожа,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бъбреци,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млечни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жлези,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яйчници,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пенис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приапизъм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зрели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възможни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гастроинтестинални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прояви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абдоминална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ангажиране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Паеровите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Peyer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pat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h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Т-клетъчна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медиастинална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туморна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маса.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изолирано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екстрамедуларно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засягане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(напр.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бял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дроб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ангажиране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солидни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тумори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левкемични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известни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хлороми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гранулоцитни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саркоми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миелобластоми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Диагностицирането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трудно,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мисли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малигнена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хемопатия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единствените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оплаквания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неясно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фебрилно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състояние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астено-адинамия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терапия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седмици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месеци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ангажира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субстрат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Лабораторни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промени.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Винаги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разностепенна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нормоцитна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тромбоцитопения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левкоцитният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брой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х10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9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нормален,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намален.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Високият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левкоцитен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брой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(над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х10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9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неблагоприятен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прогностичен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белег.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диференциалното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броене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обикновено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атипични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(наричани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парабласти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понякога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липсват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Миелограма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Разностепенна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костномозъчна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инфилтрация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по-големи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еквиваленти,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по-широка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цитоплазма,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голямо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ядро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рехав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хроматин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множество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нуклеоли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Лимфобластите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по-високо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съотношение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proofErr w:type="gram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ядро:цитоплазма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по-малко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видими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нуклеоли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впечатление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полиморфизъм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популация.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Морфологичното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разграничаване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понякога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трудно.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Патогномонична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цитоплазмата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т.нар.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Ауерови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пръчици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Auer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rods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групирани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линеарни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агрегати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цитоплазмени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гранули.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специални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оцветявания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цитохимия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разграничаване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ориентиране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конкретния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вариант.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положителни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миелопероксидаза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оцветяване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негативно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0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нерядко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1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моноцитните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варианти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позитивира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оцветяване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неспецифична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естераза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Т-ОЛЛ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позитивни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кисела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фосфатаза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докато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В-вариантите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отрицателни.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Важна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роля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диагнозата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цитогенетичното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изследване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бъдат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хромозомните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аномалии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допринасят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уточняване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вариант.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Някои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хромозомните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аномалии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патогномонични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(8;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21)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2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(15;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17)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3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Еозинофилният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5%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абнормни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костния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мозък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характерен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inv16,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асоциира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абнормности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дългото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хромозома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(11q).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Някои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цитогенетични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аномалии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така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gram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gram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9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22)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Филаделфийска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хромозома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(22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q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доказва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25%-30%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установяват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хромозомни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аномалии: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(12;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21)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25%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деца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(8;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14),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(8;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22)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(2;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mature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cells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Burkitt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like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11q23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70%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детската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ОЛЛ,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14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q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7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q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Т-ОЛЛ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добра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прогноза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(8;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21),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inv16,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(15;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17)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лоша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прогноза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тези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-5,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-7,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+8,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11q23,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20q-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най-неблагоприятна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прогноза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(8;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22),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неблагоприятна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11q23,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стандартен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рискът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(12;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21)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тризомия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4/10/17.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съвременната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хематология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водещо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диагностиката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имунофенотипизирането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изпращат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проби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евентуално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ликвор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повърхността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миелоидни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антигени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главните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миелоидни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маркери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33,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117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обикновено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положителни.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експресия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показва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моноцитоидна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диференциация,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докато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наличието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показва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особено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незрял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клетъчен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състав.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cell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маркер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експресира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върху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повърхността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лимфоидните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70%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левкемия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precursor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cells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експресират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19,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HLA-DR,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TdT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+.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cells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фенотип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лимфобласти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фенотип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mature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cells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Burkitt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like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surface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IgM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λ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+).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пикочната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киселина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ЛДХ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особено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ОЛЛ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Лечение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прогноза.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постигане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"пълна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хематологична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ремисия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нормоцелуларен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мозък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нормална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ПКК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диференциално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броене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(без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периферната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продължителност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минимум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седмици.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Според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цитостазни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схеми.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Забележка: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bg-BG"/>
        </w:rPr>
        <w:t>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молекулно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ниво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транслокацията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t(15;17)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води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формиране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фузионен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ген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promyelcyt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ic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leukemia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protein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PML-RARα,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кодиращ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PML-RARα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онкопротеин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Самостоятелният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RARα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retinoic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acid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receptor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-α)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нормален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транскрибционен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фактор,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който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свързва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друг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протеин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RXR.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Свързването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норма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витамин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(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retinoic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acid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комплекса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RARα/RXR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причинява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конформационна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промяна,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която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активира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функциите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RARα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като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транскрибционен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фактор.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PML-RARα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онкопротеинът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нисък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афинитет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към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физиологичните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нива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ретиноева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киселина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блокира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диференциацията.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bg-BG"/>
        </w:rPr>
        <w:t>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вариант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лечението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започва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Vesanoid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ATRA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All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-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trans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-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retinoic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acid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).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аналог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витамин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който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свързва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PML-RARα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деблокира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диференциацията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bg-BG"/>
        </w:rPr>
        <w:t>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бластите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неутрофилният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брой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нараства.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синдромът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изчезва.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Тези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неутрофили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здрави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клетки,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диференцирано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поколение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неопластичните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промиелоцити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Тъй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като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неутрофилите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са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кратко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живеещи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gram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без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потенциал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деление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последващата,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паралелна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ATRA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индукционна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терапия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e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по-ефективна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дава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шанс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многогодишни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пълни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ремисии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Друг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по-нов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медикамент,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специфичен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bg-BG"/>
        </w:rPr>
        <w:t>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арсенов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триоксид</w:t>
      </w:r>
      <w:proofErr w:type="spellEnd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чийто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таргет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>отново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PML-RARα.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Началната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полицитостазна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химиотерапия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нарича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"индукция".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води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тежка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медикаментозна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костномозъчна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аплазия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Бързата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масивна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цитолиза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голямо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левкемични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т.нар.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tumor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lysis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syndrome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(рязко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пикочната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киселина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бъбречна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недостатъчност,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)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Особено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налага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интензивно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обезлевкоцитени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концентрат,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имунни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препарати,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G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CSF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антибиотици,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антимикотици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кръвоспиращи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По-големият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риск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засягане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ЦНС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4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профилактично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интралумбално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цитостатици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преодоляване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цитостазната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панцитопения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постигане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ремисия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полицитостазен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"консолидация".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Индукцията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консолидацията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няколко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месеца.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дианостицирането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приблизително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0476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Постигането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ремисия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свързано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намаляване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популация.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остатъчната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бластна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популация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(т.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"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минимална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резидуална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болест")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gram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налага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последваща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"поддържаща"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терапия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ежемесечни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полицитостазни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курсове.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етап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ремисия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съвместим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HLA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система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донор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най-често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кръвен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родственик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(брат,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сестра),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предпочита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алогенна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костномозъчна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трансплантация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(КМТ).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Алтернатива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автоложната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КМТ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собствени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здрави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стволови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клетки.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Приблизително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80%-90%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по-младите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ОМЛ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достигат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пълна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ремисия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химиотерапия.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различно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дълъг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рецидив.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Изходът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ремисия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30%.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Алогенната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КМТ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относителен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дял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50%,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главно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по-млади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HLA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подходящ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донор.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По-възрастните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години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понасят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по-трудно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химиотерапията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пълните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ремисии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по-редки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по-кратки.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преживяемост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тях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остава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отчетливо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по-малка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тази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по-младите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пациенти.</w:t>
      </w:r>
    </w:p>
    <w:p w:rsidR="000476F7" w:rsidRPr="000476F7" w:rsidRDefault="000476F7" w:rsidP="000476F7">
      <w:pPr>
        <w:spacing w:before="100" w:beforeAutospacing="1" w:after="100" w:afterAutospacing="1" w:line="36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децата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80%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могат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бъдат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излекувани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цитостазно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лечение.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По-лоши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резултатите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бебета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подрастващи.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Алогенна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автоложна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КМТ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обсъждат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рецидив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лоши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прогностични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фактори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ход.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20%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възрастните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дълга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преживяемост</w:t>
      </w:r>
      <w:proofErr w:type="spellEnd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По-лоша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прогнозата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Т-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клетъчна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зряла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В-клетъчна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по-благоприятна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прекурсорна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В-клетъчна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476F7">
        <w:rPr>
          <w:rFonts w:ascii="Times New Roman" w:eastAsia="Times New Roman" w:hAnsi="Times New Roman" w:cs="Times New Roman"/>
          <w:sz w:val="28"/>
          <w:szCs w:val="28"/>
          <w:lang w:eastAsia="bg-BG"/>
        </w:rPr>
        <w:t>ОЛЛ.</w:t>
      </w:r>
    </w:p>
    <w:p w:rsidR="00FE145F" w:rsidRPr="000476F7" w:rsidRDefault="00FE145F" w:rsidP="000476F7"/>
    <w:sectPr w:rsidR="00FE145F" w:rsidRPr="0004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F2"/>
    <w:rsid w:val="000476F7"/>
    <w:rsid w:val="00AD46F2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2DBA"/>
  <w15:chartTrackingRefBased/>
  <w15:docId w15:val="{46CEACBE-0853-4064-8049-B55AA26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7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76F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ydpff14ecffmsobodytextindent">
    <w:name w:val="ydpff14ecffmsobodytextindent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normal">
    <w:name w:val="ydp48a7029fmsonormal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bodytextindent3">
    <w:name w:val="ydp48a7029fmsobodytextindent3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5765</Words>
  <Characters>32866</Characters>
  <Application>Microsoft Office Word</Application>
  <DocSecurity>0</DocSecurity>
  <Lines>273</Lines>
  <Paragraphs>77</Paragraphs>
  <ScaleCrop>false</ScaleCrop>
  <Company/>
  <LinksUpToDate>false</LinksUpToDate>
  <CharactersWithSpaces>38554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Statev</dc:creator>
  <cp:keywords/>
  <dc:description/>
  <cp:lastModifiedBy>Kiki Statev</cp:lastModifiedBy>
  <cp:revision>2</cp:revision>
  <dcterms:created xsi:type="dcterms:W3CDTF">2020-03-18T16:09:00Z</dcterms:created>
  <dcterms:modified xsi:type="dcterms:W3CDTF">2020-03-18T16:13:00Z</dcterms:modified>
</cp:coreProperties>
</file>