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7C33CB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7C33CB" w:rsidRPr="007C33CB">
        <w:rPr>
          <w:rFonts w:ascii="Times New Roman" w:hAnsi="Times New Roman"/>
          <w:b/>
          <w:caps/>
        </w:rPr>
        <w:t>Бактериални менингити и менингоенцефалити – етиол</w:t>
      </w:r>
      <w:r w:rsidR="007C33CB" w:rsidRPr="007C33CB">
        <w:rPr>
          <w:rFonts w:ascii="Times New Roman" w:hAnsi="Times New Roman"/>
          <w:b/>
          <w:caps/>
        </w:rPr>
        <w:t>о</w:t>
      </w:r>
      <w:r w:rsidR="007C33CB" w:rsidRPr="007C33CB">
        <w:rPr>
          <w:rFonts w:ascii="Times New Roman" w:hAnsi="Times New Roman"/>
          <w:b/>
          <w:caps/>
        </w:rPr>
        <w:t>гия, клиника, диагноза, ДД – лечение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F969C4" w:rsidRDefault="00F969C4" w:rsidP="00B623C7">
      <w:pPr>
        <w:pStyle w:val="st11"/>
        <w:ind w:firstLine="397"/>
        <w:jc w:val="both"/>
        <w:rPr>
          <w:b/>
          <w:sz w:val="24"/>
        </w:rPr>
      </w:pPr>
    </w:p>
    <w:p w:rsidR="00833E6C" w:rsidRDefault="007C33CB" w:rsidP="00833E6C">
      <w:pPr>
        <w:pStyle w:val="st11"/>
        <w:ind w:firstLine="0"/>
        <w:jc w:val="both"/>
        <w:rPr>
          <w:sz w:val="24"/>
        </w:rPr>
      </w:pPr>
      <w:r w:rsidRPr="007C33CB">
        <w:rPr>
          <w:sz w:val="24"/>
          <w:szCs w:val="20"/>
          <w:lang w:val="ru-RU"/>
        </w:rPr>
        <w:t>Етиология, патогенеза, клиника и диагноза на бактериалните менингити и менингоенцефалити. Етиологичен причинител – механизми на предаване, нови елементи в патогенезата на неврои</w:t>
      </w:r>
      <w:r w:rsidRPr="007C33CB">
        <w:rPr>
          <w:sz w:val="24"/>
          <w:szCs w:val="20"/>
          <w:lang w:val="ru-RU"/>
        </w:rPr>
        <w:t>н</w:t>
      </w:r>
      <w:r w:rsidRPr="007C33CB">
        <w:rPr>
          <w:sz w:val="24"/>
          <w:szCs w:val="20"/>
          <w:lang w:val="ru-RU"/>
        </w:rPr>
        <w:t>фекциите, на мозъчния едем. Уточняване на по- важните симпоми и синдроми които насочват диагностичното мислене на инфекция на ЦНС. Панел от клинико-лабораторни показатели, ли</w:t>
      </w:r>
      <w:r w:rsidRPr="007C33CB">
        <w:rPr>
          <w:sz w:val="24"/>
          <w:szCs w:val="20"/>
          <w:lang w:val="ru-RU"/>
        </w:rPr>
        <w:t>к</w:t>
      </w:r>
      <w:r w:rsidRPr="007C33CB">
        <w:rPr>
          <w:sz w:val="24"/>
          <w:szCs w:val="20"/>
          <w:lang w:val="ru-RU"/>
        </w:rPr>
        <w:t>ворен синдром, микробиологично изследване на ликвора за уточняване на етиологичния пр</w:t>
      </w:r>
      <w:r w:rsidRPr="007C33CB">
        <w:rPr>
          <w:sz w:val="24"/>
          <w:szCs w:val="20"/>
          <w:lang w:val="ru-RU"/>
        </w:rPr>
        <w:t>и</w:t>
      </w:r>
      <w:r w:rsidRPr="007C33CB">
        <w:rPr>
          <w:sz w:val="24"/>
          <w:szCs w:val="20"/>
          <w:lang w:val="ru-RU"/>
        </w:rPr>
        <w:t>чинител. Диагноза – опорни моменти от анамнеза, неврологичен статус и параклинични и ли</w:t>
      </w:r>
      <w:r w:rsidRPr="007C33CB">
        <w:rPr>
          <w:sz w:val="24"/>
          <w:szCs w:val="20"/>
          <w:lang w:val="ru-RU"/>
        </w:rPr>
        <w:t>к</w:t>
      </w:r>
      <w:r w:rsidRPr="007C33CB">
        <w:rPr>
          <w:sz w:val="24"/>
          <w:szCs w:val="20"/>
          <w:lang w:val="ru-RU"/>
        </w:rPr>
        <w:t>ворологични показатели. ДД вътре в групата бактериални менингити и менигоенцефалити. Т</w:t>
      </w:r>
      <w:r w:rsidRPr="007C33CB">
        <w:rPr>
          <w:sz w:val="24"/>
          <w:szCs w:val="20"/>
          <w:lang w:val="ru-RU"/>
        </w:rPr>
        <w:t>е</w:t>
      </w:r>
      <w:r w:rsidRPr="007C33CB">
        <w:rPr>
          <w:sz w:val="24"/>
          <w:szCs w:val="20"/>
          <w:lang w:val="ru-RU"/>
        </w:rPr>
        <w:t>рапевтично поведение – винаги комплексно-патогенетично,етиологично и  симптоматично, АБ на избор преминаващи добре ликворната бариера.</w:t>
      </w: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5F" w:rsidRDefault="0092745F">
      <w:r>
        <w:separator/>
      </w:r>
    </w:p>
  </w:endnote>
  <w:endnote w:type="continuationSeparator" w:id="0">
    <w:p w:rsidR="0092745F" w:rsidRDefault="009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B36C2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B36C2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B36C24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B36C2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5F" w:rsidRDefault="0092745F">
      <w:r>
        <w:separator/>
      </w:r>
    </w:p>
  </w:footnote>
  <w:footnote w:type="continuationSeparator" w:id="0">
    <w:p w:rsidR="0092745F" w:rsidRDefault="0092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24" w:rsidRDefault="00B36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92745F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318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B36C2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B36C24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B36C24" w:rsidRPr="00B36C24" w:rsidRDefault="00B36C24" w:rsidP="00B36C24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B36C24">
            <w:rPr>
              <w:rFonts w:cs="Arial"/>
              <w:b/>
              <w:caps/>
              <w:sz w:val="22"/>
              <w:szCs w:val="22"/>
            </w:rPr>
            <w:t>КАТЕДРА</w:t>
          </w:r>
          <w:r w:rsidRPr="00B36C24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B36C24" w:rsidP="00B36C2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B36C24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B36C24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211C2B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C33CB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2745F"/>
    <w:rsid w:val="00975DBF"/>
    <w:rsid w:val="00977FE0"/>
    <w:rsid w:val="009831AB"/>
    <w:rsid w:val="009975D6"/>
    <w:rsid w:val="009A10F7"/>
    <w:rsid w:val="009D6AC4"/>
    <w:rsid w:val="00A0227E"/>
    <w:rsid w:val="00A66E4D"/>
    <w:rsid w:val="00A811E9"/>
    <w:rsid w:val="00A83282"/>
    <w:rsid w:val="00AD7B48"/>
    <w:rsid w:val="00AF0AAA"/>
    <w:rsid w:val="00AF68E8"/>
    <w:rsid w:val="00B1467C"/>
    <w:rsid w:val="00B36C24"/>
    <w:rsid w:val="00B623C7"/>
    <w:rsid w:val="00C333BC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2020-03-24T21:11:00Z</dcterms:created>
  <dcterms:modified xsi:type="dcterms:W3CDTF">2020-03-29T15:22:00Z</dcterms:modified>
</cp:coreProperties>
</file>