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0315CA" w:rsidRPr="000315CA" w:rsidRDefault="000315CA" w:rsidP="000315CA">
      <w:pPr>
        <w:jc w:val="center"/>
        <w:rPr>
          <w:b/>
          <w:sz w:val="22"/>
          <w:szCs w:val="22"/>
        </w:rPr>
      </w:pPr>
      <w:r w:rsidRPr="000315CA">
        <w:rPr>
          <w:b/>
          <w:sz w:val="22"/>
          <w:szCs w:val="22"/>
        </w:rPr>
        <w:t>ПЕДАГОГИКА</w:t>
      </w:r>
    </w:p>
    <w:p w:rsidR="000315CA" w:rsidRPr="000315CA" w:rsidRDefault="000315CA" w:rsidP="000315CA">
      <w:pPr>
        <w:jc w:val="center"/>
        <w:rPr>
          <w:b/>
          <w:sz w:val="22"/>
          <w:szCs w:val="22"/>
        </w:rPr>
      </w:pPr>
      <w:r w:rsidRPr="000315CA">
        <w:rPr>
          <w:b/>
          <w:sz w:val="22"/>
          <w:szCs w:val="22"/>
        </w:rPr>
        <w:t>МОДУЛ ІI – ОСНОВИ НА СПЕЦИАЛНАТА ПЕДАГОГИКА</w:t>
      </w:r>
      <w:r>
        <w:rPr>
          <w:b/>
          <w:sz w:val="22"/>
          <w:szCs w:val="22"/>
        </w:rPr>
        <w:t>,</w:t>
      </w:r>
    </w:p>
    <w:p w:rsidR="005A34CE" w:rsidRDefault="005A34CE" w:rsidP="005A34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СПЕЦИАЛНОСТ „Социални дейности</w:t>
      </w:r>
      <w:r w:rsidR="000315CA">
        <w:rPr>
          <w:b/>
          <w:sz w:val="22"/>
          <w:szCs w:val="22"/>
        </w:rPr>
        <w:t xml:space="preserve"> в здравеопазването</w:t>
      </w:r>
      <w:r w:rsidRPr="00923653">
        <w:rPr>
          <w:b/>
          <w:sz w:val="22"/>
          <w:szCs w:val="22"/>
        </w:rPr>
        <w:t>”</w:t>
      </w:r>
    </w:p>
    <w:p w:rsidR="000315CA" w:rsidRPr="00923653" w:rsidRDefault="000315CA" w:rsidP="005A34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ФАКУЛТЕТ „ОБЩЕСТВЕНО ЗДРАВЕ“</w:t>
      </w:r>
    </w:p>
    <w:p w:rsidR="005A34CE" w:rsidRPr="00923653" w:rsidRDefault="005A34CE" w:rsidP="005A34CE">
      <w:pPr>
        <w:jc w:val="center"/>
      </w:pPr>
    </w:p>
    <w:p w:rsidR="005A34CE" w:rsidRPr="00923653" w:rsidRDefault="005A34CE" w:rsidP="005A34CE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5A34CE" w:rsidRPr="00923653" w:rsidRDefault="005A34CE" w:rsidP="005A34CE">
      <w:pPr>
        <w:jc w:val="center"/>
        <w:rPr>
          <w:b/>
        </w:rPr>
      </w:pPr>
    </w:p>
    <w:p w:rsidR="005A34CE" w:rsidRPr="00923653" w:rsidRDefault="005A34CE" w:rsidP="005A34CE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Pr="00923653">
        <w:rPr>
          <w:b/>
          <w:i/>
        </w:rPr>
        <w:t>Табл. № 1. 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0315CA" w:rsidRDefault="005A34CE" w:rsidP="005A34CE">
            <w:pPr>
              <w:ind w:firstLine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0315CA">
              <w:rPr>
                <w:rFonts w:ascii="Arial" w:hAnsi="Arial" w:cs="Arial"/>
                <w:sz w:val="18"/>
                <w:szCs w:val="18"/>
              </w:rPr>
              <w:t>Основи на специалната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педагогика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 е от учебен план за обучение на студенти от </w:t>
            </w:r>
            <w:r w:rsidR="000315CA">
              <w:rPr>
                <w:rFonts w:ascii="Arial" w:hAnsi="Arial" w:cs="Arial"/>
                <w:sz w:val="18"/>
                <w:szCs w:val="18"/>
              </w:rPr>
              <w:t>Факултет „Обществено здраве“ на МУ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Плевен, специалност "Социални дейности</w:t>
            </w:r>
            <w:r w:rsidR="000315CA">
              <w:rPr>
                <w:rFonts w:ascii="Arial" w:hAnsi="Arial" w:cs="Arial"/>
                <w:sz w:val="18"/>
                <w:szCs w:val="18"/>
              </w:rPr>
              <w:t xml:space="preserve"> в здравеопазването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". 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Изучаването на дисциплината </w:t>
            </w:r>
            <w:r w:rsidR="000315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Основи на специалната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педагогика </w:t>
            </w:r>
            <w:r w:rsidRPr="005A34C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цели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315CA" w:rsidRPr="000315C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да усвоят основни знания в областта на спецификата на категориите и групите деца/лица със значителни нарушения на развитието и възможностите за социално-педагогическа и рехабилитационна интервенция. </w:t>
            </w:r>
          </w:p>
          <w:p w:rsidR="00A55525" w:rsidRDefault="005A34CE" w:rsidP="00A55525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Тя е задължителна и се изучава във втори семестър на първи курс, като завършва със семестриален изпит.</w:t>
            </w:r>
            <w:r w:rsidR="000315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5CA" w:rsidRPr="000315CA">
              <w:rPr>
                <w:rFonts w:ascii="Arial" w:hAnsi="Arial" w:cs="Arial"/>
                <w:sz w:val="18"/>
                <w:szCs w:val="18"/>
              </w:rPr>
              <w:t>Учебната програма по дисциплината е включена в Модул II на курса по „Педагогика“ и включва лекционни занятия и упражнения. В лекционния курс студентите усвояват научните основи на поведенческите и социалните стратегии за подобряване на здравето на децата/лицата с нарушения на развитието. Разкриват се основните категории и групи деца/лица със значителни нарушения на развитието, възможностите за социално-педагогическа и рехабилитационна интервенция, структурните звена за диагностициране и терапевтично въздействие. Усвояват се умения за извършване на самостоятелен анализ на социалните и индивидуални потребности от промоция на здравето, за планиране и осъществяване на здравно-промотивни програми. Съвременната нормативна уредба, разгледана в програмата позволява студентите да се запознаят с базови законови принципи за подпомагане и насочване на децата/лицата с увреждания в страната. Усвояват се знания за структурно-организационните етапи в проучването, диагностицирането,  превенцията и екипното предоставяне на здравно-социални услуги. Студентите усвояват практически умения за прилагане на комплексни мероприятия за цялостната социална интеграция и реинтеграция на децата/лицата със специални потребности, за работа в мултидисциплинарен екип.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34CE" w:rsidRPr="00923653" w:rsidRDefault="005A34CE" w:rsidP="00A55525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A55525">
              <w:rPr>
                <w:rFonts w:ascii="Arial" w:hAnsi="Arial" w:cs="Arial"/>
                <w:sz w:val="18"/>
                <w:szCs w:val="18"/>
              </w:rPr>
              <w:t>тации за всяка отделна лекция.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Преподавателски екип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006A9B" w:rsidP="00A904E9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Искра Цанкова Петкова, д.п.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се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разработва от хабилитиран преподавател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 катедра „Социални и фармацевтични дейности“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та се обсъжда в 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Катедрен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 в съответствие с развитието на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теория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практика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 Лекционния курс по учебната програма е осигу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рен в </w:t>
            </w:r>
            <w:r w:rsidR="00006A9B" w:rsidRP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подробни презентации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Програмата влиза 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сил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след утвърждаване от Декана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 </w:t>
            </w:r>
            <w:r w:rsidR="00006A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Факултет „Обществено здраве“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53" name="Picture 53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Съдържание на учебната програма...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Uprog_inf.doc)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  <w:r w:rsidR="006220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Лекционен курс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D12AB9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предназначено за студенти от </w:t>
            </w:r>
            <w:r w:rsidR="00D12AB9">
              <w:rPr>
                <w:rFonts w:ascii="Arial" w:hAnsi="Arial" w:cs="Arial"/>
                <w:sz w:val="18"/>
                <w:szCs w:val="18"/>
              </w:rPr>
              <w:t>специалност „Социални дейности</w:t>
            </w:r>
            <w:r w:rsidR="00622067">
              <w:rPr>
                <w:rFonts w:ascii="Arial" w:hAnsi="Arial" w:cs="Arial"/>
                <w:sz w:val="18"/>
                <w:szCs w:val="18"/>
              </w:rPr>
              <w:t xml:space="preserve"> в здравеопазването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“ – </w:t>
            </w:r>
            <w:r w:rsidR="00622067">
              <w:rPr>
                <w:rFonts w:ascii="Arial" w:hAnsi="Arial" w:cs="Arial"/>
                <w:sz w:val="18"/>
                <w:szCs w:val="18"/>
              </w:rPr>
              <w:t xml:space="preserve">Фякултет „Обществено здраве“ на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МУ – Плевен в редовна форма на 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C49E3" w:rsidRDefault="005A34CE" w:rsidP="00155F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 включва: осем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двучасови лекции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067">
              <w:rPr>
                <w:rFonts w:ascii="Arial" w:hAnsi="Arial" w:cs="Arial"/>
                <w:sz w:val="18"/>
                <w:szCs w:val="18"/>
              </w:rPr>
              <w:t>и четири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едночасова. За всяка една от тях се предлага под</w:t>
            </w:r>
            <w:r w:rsidR="00622067">
              <w:rPr>
                <w:rFonts w:ascii="Arial" w:hAnsi="Arial" w:cs="Arial"/>
                <w:sz w:val="18"/>
                <w:szCs w:val="18"/>
              </w:rPr>
              <w:t>робна презентация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622067">
              <w:rPr>
                <w:rFonts w:ascii="Arial" w:hAnsi="Arial" w:cs="Arial"/>
                <w:sz w:val="18"/>
                <w:szCs w:val="18"/>
              </w:rPr>
              <w:t>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за самостоятелна </w:t>
            </w:r>
            <w:r w:rsidR="00622067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C49E3">
              <w:rPr>
                <w:rFonts w:ascii="Arial" w:hAnsi="Arial" w:cs="Arial"/>
                <w:sz w:val="18"/>
                <w:szCs w:val="18"/>
              </w:rPr>
              <w:t>Учебният материал е разбираем, добре обмислен</w:t>
            </w:r>
            <w:r w:rsidR="000C49E3" w:rsidRPr="00923653">
              <w:rPr>
                <w:rFonts w:ascii="Arial" w:hAnsi="Arial" w:cs="Arial"/>
                <w:sz w:val="18"/>
                <w:szCs w:val="18"/>
              </w:rPr>
              <w:t>, методически подредени и правилно подбрани изразни средства и форми</w:t>
            </w:r>
            <w:r w:rsidR="000C49E3">
              <w:rPr>
                <w:rFonts w:ascii="Arial" w:hAnsi="Arial" w:cs="Arial"/>
                <w:sz w:val="18"/>
                <w:szCs w:val="18"/>
              </w:rPr>
              <w:t>. Изя</w:t>
            </w:r>
            <w:r w:rsidR="00155F15">
              <w:rPr>
                <w:rFonts w:ascii="Arial" w:hAnsi="Arial" w:cs="Arial"/>
                <w:sz w:val="18"/>
                <w:szCs w:val="18"/>
              </w:rPr>
              <w:t>снени са теоретичните основи и с</w:t>
            </w:r>
            <w:r w:rsidR="00155F15" w:rsidRPr="00155F15">
              <w:rPr>
                <w:rFonts w:ascii="Arial" w:hAnsi="Arial" w:cs="Arial"/>
                <w:sz w:val="18"/>
                <w:szCs w:val="18"/>
              </w:rPr>
              <w:t>ъвременните научни концепции за интерпретиране на откло</w:t>
            </w:r>
            <w:r w:rsidR="00155F15">
              <w:rPr>
                <w:rFonts w:ascii="Arial" w:hAnsi="Arial" w:cs="Arial"/>
                <w:sz w:val="18"/>
                <w:szCs w:val="18"/>
              </w:rPr>
              <w:t>ненията от нормалното развитие; п</w:t>
            </w:r>
            <w:r w:rsidR="00155F15" w:rsidRPr="00155F15">
              <w:rPr>
                <w:rFonts w:ascii="Arial" w:hAnsi="Arial" w:cs="Arial"/>
                <w:sz w:val="18"/>
                <w:szCs w:val="18"/>
              </w:rPr>
              <w:t xml:space="preserve">рилагане на  адекватен подход на общуване за мотивиране на поведенческа промяна при деци/лица с рисково здравно поведение, съобразно </w:t>
            </w:r>
            <w:r w:rsidR="00155F15" w:rsidRPr="00155F15">
              <w:rPr>
                <w:rFonts w:ascii="Arial" w:hAnsi="Arial" w:cs="Arial"/>
                <w:sz w:val="18"/>
                <w:szCs w:val="18"/>
              </w:rPr>
              <w:lastRenderedPageBreak/>
              <w:t>индивидуалните</w:t>
            </w:r>
            <w:r w:rsidR="00155F15">
              <w:rPr>
                <w:rFonts w:ascii="Arial" w:hAnsi="Arial" w:cs="Arial"/>
                <w:sz w:val="18"/>
                <w:szCs w:val="18"/>
              </w:rPr>
              <w:t xml:space="preserve"> особености в развитието; п</w:t>
            </w:r>
            <w:r w:rsidR="00155F15" w:rsidRPr="00155F15">
              <w:rPr>
                <w:rFonts w:ascii="Arial" w:hAnsi="Arial" w:cs="Arial"/>
                <w:sz w:val="18"/>
                <w:szCs w:val="18"/>
              </w:rPr>
              <w:t>ознания за същността на процесите на възприемане на рисковите фактори от с</w:t>
            </w:r>
            <w:r w:rsidR="00155F15">
              <w:rPr>
                <w:rFonts w:ascii="Arial" w:hAnsi="Arial" w:cs="Arial"/>
                <w:sz w:val="18"/>
                <w:szCs w:val="18"/>
              </w:rPr>
              <w:t>трана на индивида и обществото; п</w:t>
            </w:r>
            <w:r w:rsidR="00155F15" w:rsidRPr="00155F15">
              <w:rPr>
                <w:rFonts w:ascii="Arial" w:hAnsi="Arial" w:cs="Arial"/>
                <w:sz w:val="18"/>
                <w:szCs w:val="18"/>
              </w:rPr>
              <w:t>одпомагане на децата/лицата с увреждания за формиране на лични и социални умения, стимулиращи индивидуалния избор за здравословен начин на живот и насочване към благоприятна обществена среда, подкрепяща здравето им.</w:t>
            </w:r>
          </w:p>
          <w:p w:rsidR="00155F15" w:rsidRDefault="00155F15" w:rsidP="00155F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</w:t>
            </w:r>
            <w:r w:rsidR="00C02E8D">
              <w:rPr>
                <w:rFonts w:ascii="Arial" w:hAnsi="Arial" w:cs="Arial"/>
                <w:color w:val="000080"/>
                <w:sz w:val="18"/>
                <w:szCs w:val="18"/>
              </w:rPr>
              <w:t>кционния курс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...</w:t>
            </w: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5. Допълнителни материали и презентации </w:t>
            </w:r>
            <w:r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секцията е строго специфично за дисциплините)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FFFFFF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 по-долу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Препоръчаната основна и допълнителна литература са посочени във връзката по-долу.</w:t>
            </w: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49" name="Picture 49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literatura.doc)</w:t>
            </w:r>
          </w:p>
          <w:p w:rsidR="005A34CE" w:rsidRPr="00923653" w:rsidRDefault="005A34CE" w:rsidP="00A904E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6. Практически упражнения, курсови работи и реферати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0C49E3" w:rsidRPr="0079290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903">
              <w:rPr>
                <w:rFonts w:ascii="Arial" w:hAnsi="Arial" w:cs="Arial"/>
                <w:sz w:val="18"/>
                <w:szCs w:val="18"/>
              </w:rPr>
              <w:t>За изпълнение целите на учебната програма, осв</w:t>
            </w:r>
            <w:r w:rsidR="000C49E3" w:rsidRPr="00792903">
              <w:rPr>
                <w:rFonts w:ascii="Arial" w:hAnsi="Arial" w:cs="Arial"/>
                <w:sz w:val="18"/>
                <w:szCs w:val="18"/>
              </w:rPr>
              <w:t xml:space="preserve">ен лекционния курс </w:t>
            </w:r>
            <w:r w:rsidR="00792903" w:rsidRPr="00792903">
              <w:rPr>
                <w:rFonts w:ascii="Arial" w:hAnsi="Arial" w:cs="Arial"/>
                <w:sz w:val="18"/>
                <w:szCs w:val="18"/>
              </w:rPr>
              <w:t>е предвидено</w:t>
            </w:r>
            <w:r w:rsidR="000C49E3" w:rsidRPr="00792903">
              <w:rPr>
                <w:rFonts w:ascii="Arial" w:hAnsi="Arial" w:cs="Arial"/>
                <w:sz w:val="18"/>
                <w:szCs w:val="18"/>
              </w:rPr>
              <w:t xml:space="preserve"> разработване на </w:t>
            </w:r>
            <w:r w:rsidR="00792903" w:rsidRPr="00792903">
              <w:rPr>
                <w:rFonts w:ascii="Arial" w:hAnsi="Arial" w:cs="Arial"/>
                <w:sz w:val="18"/>
                <w:szCs w:val="18"/>
              </w:rPr>
              <w:t>реферат</w:t>
            </w:r>
            <w:r w:rsidR="00F84177" w:rsidRPr="0079290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34CE" w:rsidRPr="00792903" w:rsidRDefault="005A34CE" w:rsidP="00F84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792903" w:rsidRDefault="00F84177" w:rsidP="00A904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903">
              <w:rPr>
                <w:rFonts w:ascii="Arial" w:hAnsi="Arial" w:cs="Arial"/>
                <w:b/>
                <w:sz w:val="18"/>
                <w:szCs w:val="18"/>
              </w:rPr>
              <w:t>Темите за разработване на реферат</w:t>
            </w:r>
            <w:r w:rsidR="005A34CE" w:rsidRPr="00792903">
              <w:rPr>
                <w:rFonts w:ascii="Arial" w:hAnsi="Arial" w:cs="Arial"/>
                <w:b/>
                <w:sz w:val="18"/>
                <w:szCs w:val="18"/>
              </w:rPr>
              <w:t xml:space="preserve"> са поместени във връзките по-долу:</w:t>
            </w:r>
          </w:p>
          <w:p w:rsidR="005A34CE" w:rsidRPr="0079290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Default="00CC26EF" w:rsidP="0079290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2903">
              <w:rPr>
                <w:rFonts w:ascii="Arial" w:hAnsi="Arial" w:cs="Arial"/>
                <w:color w:val="000080"/>
                <w:sz w:val="18"/>
                <w:szCs w:val="18"/>
              </w:rPr>
              <w:t>Теми за разработване на реферат</w:t>
            </w:r>
            <w:r w:rsidR="000136EC" w:rsidRPr="00792903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r w:rsidR="000136EC" w:rsidRPr="0079290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proofErr w:type="spellStart"/>
            <w:r w:rsidR="000136EC" w:rsidRPr="00792903">
              <w:rPr>
                <w:rFonts w:ascii="Arial" w:hAnsi="Arial" w:cs="Arial"/>
                <w:i/>
                <w:sz w:val="18"/>
                <w:szCs w:val="18"/>
                <w:lang w:val="en-US"/>
              </w:rPr>
              <w:t>temi</w:t>
            </w:r>
            <w:proofErr w:type="spellEnd"/>
            <w:r w:rsidR="000136EC" w:rsidRPr="0079290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136EC" w:rsidRPr="00792903">
              <w:rPr>
                <w:rFonts w:ascii="Arial" w:hAnsi="Arial" w:cs="Arial"/>
                <w:i/>
                <w:sz w:val="18"/>
                <w:szCs w:val="18"/>
                <w:lang w:val="en-US"/>
              </w:rPr>
              <w:t>referat</w:t>
            </w:r>
            <w:proofErr w:type="spellEnd"/>
            <w:r w:rsidR="000136EC" w:rsidRPr="00792903">
              <w:rPr>
                <w:rFonts w:ascii="Arial" w:hAnsi="Arial" w:cs="Arial"/>
                <w:i/>
                <w:sz w:val="18"/>
                <w:szCs w:val="18"/>
              </w:rPr>
              <w:t>.doc)</w:t>
            </w:r>
          </w:p>
          <w:p w:rsidR="00792903" w:rsidRPr="00792903" w:rsidRDefault="00792903" w:rsidP="0079290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Списък на студентите за разработване на реферат </w:t>
            </w:r>
            <w:r w:rsidRPr="0079290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spisk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student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2903">
              <w:rPr>
                <w:rFonts w:ascii="Arial" w:hAnsi="Arial" w:cs="Arial"/>
                <w:i/>
                <w:sz w:val="18"/>
                <w:szCs w:val="18"/>
                <w:lang w:val="en-US"/>
              </w:rPr>
              <w:t>referat</w:t>
            </w:r>
            <w:proofErr w:type="spellEnd"/>
            <w:r w:rsidRPr="00792903">
              <w:rPr>
                <w:rFonts w:ascii="Arial" w:hAnsi="Arial" w:cs="Arial"/>
                <w:i/>
                <w:sz w:val="18"/>
                <w:szCs w:val="18"/>
              </w:rPr>
              <w:t>.doc)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7. Конспект за изпита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и полагането на семестриален изпит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 и </w:t>
            </w:r>
            <w:r w:rsidR="00CC26EF">
              <w:rPr>
                <w:rFonts w:ascii="Arial" w:hAnsi="Arial" w:cs="Arial"/>
                <w:sz w:val="18"/>
                <w:szCs w:val="18"/>
              </w:rPr>
              <w:t>представеният към него учебник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 конспекта са включени само въпроси, които задължително присъстват в някакъв обем в презентациите </w:t>
            </w:r>
            <w:r w:rsidR="00CC26EF">
              <w:rPr>
                <w:rFonts w:ascii="Arial" w:hAnsi="Arial" w:cs="Arial"/>
                <w:sz w:val="18"/>
                <w:szCs w:val="18"/>
              </w:rPr>
              <w:t>към лекциите и учебника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C26EF" w:rsidRPr="00923653" w:rsidRDefault="00CC26EF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39" name="Picture 39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konspekt.doc)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CC26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Във връзката към тази секция се съдържат указания към студентите за начина на подготовка по учебната дисциплина. Желателно е всеки един от тях да прочете направените от преподавателите бележки и препоръки. Там има поставена информация и относно изискванията при подготовката на курсовите задачи задачи. Подробности, свързани с бележките и препоръките за подготовка са поместени във връзката по-долу: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37" name="Picture 37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belegki.doc)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 в Системата за дистанционно обучение, където може да се поместят мненията, въпросите и препоръките по начина на поднасяне на учебния материал, неговото съдържание и актуалност. Форумът е достъпен за всички обучаеми, които желаят да го използват. Информацията в него следва да бъде кратка и ясна при стриктно спазване изискванията на академичната етика и добрия тон. Преподавателите ще отчетат Вашите мнения и препоръки по учебната дисциплина и подготовката по нея. Благодарим Ви за разбирането.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CE1E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 Присъствените консултации са препоръчителни и се</w:t>
            </w:r>
            <w:r w:rsidR="00CC26EF">
              <w:rPr>
                <w:rFonts w:ascii="Arial" w:hAnsi="Arial" w:cs="Arial"/>
                <w:sz w:val="18"/>
                <w:szCs w:val="18"/>
              </w:rPr>
              <w:t xml:space="preserve"> провеждат в </w:t>
            </w:r>
            <w:r w:rsidR="00CE1E15">
              <w:rPr>
                <w:rFonts w:ascii="Arial" w:hAnsi="Arial" w:cs="Arial"/>
                <w:sz w:val="18"/>
                <w:szCs w:val="18"/>
              </w:rPr>
              <w:t>Катедра „Социални и фармацевтични дейности</w:t>
            </w:r>
            <w:r w:rsidR="00CC26EF">
              <w:rPr>
                <w:rFonts w:ascii="Arial" w:hAnsi="Arial" w:cs="Arial"/>
                <w:sz w:val="18"/>
                <w:szCs w:val="18"/>
              </w:rPr>
              <w:t>“ на МК към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МУ – Плевен по граф</w:t>
            </w:r>
            <w:r w:rsidR="00CC26EF">
              <w:rPr>
                <w:rFonts w:ascii="Arial" w:hAnsi="Arial" w:cs="Arial"/>
                <w:sz w:val="18"/>
                <w:szCs w:val="18"/>
              </w:rPr>
              <w:t>ик, оповестен от преподавателя</w:t>
            </w:r>
            <w:r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подготовка по учебнат</w:t>
            </w:r>
            <w:r w:rsidR="00CC26EF">
              <w:rPr>
                <w:rFonts w:ascii="Arial" w:hAnsi="Arial" w:cs="Arial"/>
                <w:sz w:val="18"/>
                <w:szCs w:val="18"/>
              </w:rPr>
              <w:t>а дисциплина и особеностите за разработване на реферат</w:t>
            </w:r>
            <w:r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 следва да се използва форума по дисциплината и електронната поща за връзка с преподавателите. Предвиждат се и дистанционни консултации, които се провеждат чрез виртуална класна стая или другите средства за връзка. Условията за използване на дистанционни консултации и времето за тяхното провеждане се определя от преподавателя. Те се разясняват по време на лекциите и в другите присъствени учебни форми или чрез електронната поща.</w:t>
            </w:r>
          </w:p>
        </w:tc>
      </w:tr>
    </w:tbl>
    <w:p w:rsidR="005A34CE" w:rsidRPr="00923653" w:rsidRDefault="005A34CE" w:rsidP="005A34CE">
      <w:pPr>
        <w:ind w:left="18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/>
    <w:p w:rsidR="005A34CE" w:rsidRPr="00923653" w:rsidRDefault="005A34CE" w:rsidP="005A34CE"/>
    <w:p w:rsidR="005A34CE" w:rsidRPr="00923653" w:rsidRDefault="005A34CE" w:rsidP="005A34CE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C02E8D" w:rsidP="008B697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4</w:t>
            </w:r>
            <w:r w:rsidR="005A34C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5D7C8F" w:rsidRPr="005D7C8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Приобщаващо образование – специфика, проблеми, нормативна уредба.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8B6975" w:rsidRDefault="005D7C8F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Приобщаващо образование – специфик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а, проблеми, нормативна уредба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5D7C8F">
              <w:rPr>
                <w:rFonts w:ascii="Arial" w:hAnsi="Arial" w:cs="Arial"/>
                <w:sz w:val="18"/>
                <w:szCs w:val="18"/>
                <w:lang w:val="ru-RU"/>
              </w:rPr>
              <w:t>роблематика и специфика на приобщаващото образование. Родителски реакции и родителски интервенции при деца с нарушения на развитието (специални образователни потребности). Актуални нормативни документи за защита, права и задължения на личността с увреждания. Състав и функции на екипа за комплексно педагогическо оценяване на децата с нарушено развитие. Централна, регионални и локални комисии. Екипи за изготвяне на индивидуален план и програма за обучение и развитие. Принципни изисквания за изграждане на системата на образование и рехабилитация на лицата с нарушения.</w:t>
            </w:r>
          </w:p>
          <w:p w:rsidR="005A34CE" w:rsidRPr="005D7C8F" w:rsidRDefault="00C02E8D" w:rsidP="005D7C8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4</w:t>
            </w:r>
            <w:r w:rsidR="005A34CE" w:rsidRPr="00923653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5A34CE" w:rsidRPr="005D7C8F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5D7C8F">
              <w:rPr>
                <w:rFonts w:ascii="Arial" w:hAnsi="Arial" w:cs="Arial"/>
                <w:sz w:val="16"/>
                <w:szCs w:val="16"/>
              </w:rPr>
              <w:t>(Файл pr</w:t>
            </w:r>
            <w:r w:rsidRPr="005D7C8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5A34CE" w:rsidRPr="005D7C8F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5D7C8F" w:rsidRDefault="005D7C8F" w:rsidP="005D7C8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Материал, реакция на родителите </w:t>
            </w:r>
            <w:r w:rsidR="009D3810">
              <w:rPr>
                <w:rFonts w:ascii="Arial" w:hAnsi="Arial" w:cs="Arial"/>
                <w:color w:val="000080"/>
                <w:sz w:val="16"/>
                <w:szCs w:val="16"/>
              </w:rPr>
              <w:t xml:space="preserve">към лекция 4 </w:t>
            </w:r>
            <w:r w:rsidRPr="005D7C8F">
              <w:rPr>
                <w:rFonts w:ascii="Arial" w:hAnsi="Arial" w:cs="Arial"/>
                <w:sz w:val="16"/>
                <w:szCs w:val="16"/>
              </w:rPr>
              <w:t>(Файл pr</w:t>
            </w:r>
            <w:r w:rsidRPr="005D7C8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5D7C8F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5D7C8F" w:rsidRDefault="005D7C8F" w:rsidP="005D7C8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Национален план </w:t>
            </w:r>
            <w:r w:rsidR="00393F17">
              <w:rPr>
                <w:rFonts w:ascii="Arial" w:hAnsi="Arial" w:cs="Arial"/>
                <w:color w:val="000080"/>
                <w:sz w:val="16"/>
                <w:szCs w:val="16"/>
              </w:rPr>
              <w:t xml:space="preserve">към лекция 4 </w:t>
            </w:r>
            <w:r w:rsidRPr="005D7C8F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Pr="005D7C8F">
              <w:rPr>
                <w:rFonts w:ascii="Arial" w:hAnsi="Arial" w:cs="Arial"/>
                <w:sz w:val="16"/>
                <w:szCs w:val="16"/>
              </w:rPr>
              <w:t>n_plan_sop</w:t>
            </w:r>
            <w:r w:rsidRPr="005D7C8F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5D7C8F" w:rsidRDefault="005D7C8F" w:rsidP="005D7C8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Закон за ПУ и У образование </w:t>
            </w:r>
            <w:r w:rsidR="00393F17">
              <w:rPr>
                <w:rFonts w:ascii="Arial" w:hAnsi="Arial" w:cs="Arial"/>
                <w:color w:val="000080"/>
                <w:sz w:val="16"/>
                <w:szCs w:val="16"/>
              </w:rPr>
              <w:t xml:space="preserve">към лекция 4 </w:t>
            </w:r>
            <w:r w:rsidRPr="005D7C8F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Pr="005D7C8F">
              <w:rPr>
                <w:rFonts w:ascii="Arial" w:hAnsi="Arial" w:cs="Arial"/>
                <w:sz w:val="16"/>
                <w:szCs w:val="16"/>
              </w:rPr>
              <w:t>zkn_PUObr</w:t>
            </w:r>
            <w:r w:rsidRPr="005D7C8F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5A34CE" w:rsidRPr="001A604C" w:rsidRDefault="005D7C8F" w:rsidP="00393F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Наредба за приобщаващото образование </w:t>
            </w:r>
            <w:r w:rsidR="00393F17">
              <w:rPr>
                <w:rFonts w:ascii="Arial" w:hAnsi="Arial" w:cs="Arial"/>
                <w:color w:val="000080"/>
                <w:sz w:val="16"/>
                <w:szCs w:val="16"/>
              </w:rPr>
              <w:t>към лекция 4</w:t>
            </w:r>
            <w:r w:rsidRPr="005D7C8F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Pr="005D7C8F">
              <w:rPr>
                <w:rFonts w:ascii="Arial" w:hAnsi="Arial" w:cs="Arial"/>
                <w:sz w:val="16"/>
                <w:szCs w:val="16"/>
              </w:rPr>
              <w:t>naredba_priobshtavashto_obrazovanie</w:t>
            </w:r>
            <w:r w:rsidRPr="005D7C8F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1A604C" w:rsidRPr="00393F17" w:rsidRDefault="001A604C" w:rsidP="00393F1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A604C">
              <w:rPr>
                <w:rFonts w:ascii="Arial" w:hAnsi="Arial" w:cs="Arial"/>
                <w:color w:val="000080"/>
                <w:sz w:val="16"/>
                <w:szCs w:val="16"/>
              </w:rPr>
              <w:t xml:space="preserve">Учебна задача към лекция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№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  <w:r w:rsidRPr="001A604C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Pr="001A604C">
              <w:rPr>
                <w:rFonts w:ascii="Arial" w:hAnsi="Arial" w:cs="Arial"/>
                <w:color w:val="000080"/>
                <w:sz w:val="16"/>
                <w:szCs w:val="16"/>
                <w:lang w:val="ru-RU"/>
              </w:rPr>
              <w:t xml:space="preserve"> </w:t>
            </w:r>
            <w:r w:rsidRPr="001A604C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proofErr w:type="spellStart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>uchebna</w:t>
            </w:r>
            <w:proofErr w:type="spellEnd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>zadacha</w:t>
            </w:r>
            <w:proofErr w:type="spellEnd"/>
            <w:r w:rsidRPr="001A60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A604C">
              <w:rPr>
                <w:rFonts w:ascii="Arial" w:hAnsi="Arial" w:cs="Arial"/>
                <w:sz w:val="16"/>
                <w:szCs w:val="16"/>
              </w:rPr>
              <w:t>.docx)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C02E8D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5</w:t>
            </w:r>
            <w:r w:rsidR="008B697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393F17" w:rsidRPr="00393F1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Основни проблеми на личността с интелектуална недостатъчност.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393F17" w:rsidRPr="00393F17" w:rsidRDefault="00393F17" w:rsidP="00393F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3F1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Основни проблеми на личността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с интелектуална недостатъчност – </w:t>
            </w:r>
            <w:r w:rsidRPr="00393F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Същност на интелектуалната недост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атъчност от страна на биологично нарушение</w:t>
            </w:r>
            <w:r w:rsidRPr="00393F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устойчиви промени и о</w:t>
            </w:r>
            <w:bookmarkStart w:id="0" w:name="_GoBack"/>
            <w:bookmarkEnd w:id="0"/>
            <w:r w:rsidRPr="00393F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тклонения, познавателна активност, трудности в адаптацията, дефицит на социалните умения. Основни групи етиологични фактори. Характерни особености на интелектуалната недостатъчност. Специфична характеристика на интелектуалната недостатъчност според МКБ. Синдром на Даун – причини, видове и особености, според МКБ. Характеристика, симптоми и специфика в развитието на детето със Синдром на Даун.</w:t>
            </w:r>
          </w:p>
          <w:p w:rsidR="00393F17" w:rsidRPr="00393F17" w:rsidRDefault="00393F17" w:rsidP="00393F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93F1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Програми за обучение – Мултисензорен подход; Компютърно  игрови подход; Монтесори терапия.</w:t>
            </w:r>
          </w:p>
          <w:p w:rsidR="008B6975" w:rsidRDefault="008B6975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Default="00C02E8D" w:rsidP="00393F17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5</w:t>
            </w:r>
            <w:r w:rsidR="005A34CE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 </w:t>
            </w:r>
            <w:r w:rsidR="005A34CE" w:rsidRPr="00923653">
              <w:rPr>
                <w:rFonts w:ascii="Arial" w:hAnsi="Arial" w:cs="Arial"/>
                <w:sz w:val="16"/>
                <w:szCs w:val="16"/>
              </w:rPr>
              <w:t>(Файл pr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5</w:t>
            </w:r>
            <w:r w:rsidR="005A34CE" w:rsidRPr="00923653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2827F1" w:rsidRDefault="00393F17" w:rsidP="002827F1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Клинична характеристика към лекция 5</w:t>
            </w:r>
            <w:r w:rsidR="009D381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9D3810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9D3810" w:rsidRPr="009D3810">
              <w:rPr>
                <w:rFonts w:ascii="Arial" w:hAnsi="Arial" w:cs="Arial"/>
                <w:sz w:val="16"/>
                <w:szCs w:val="16"/>
              </w:rPr>
              <w:t>klinichna harakteristika</w:t>
            </w:r>
            <w:r w:rsidR="009D3810" w:rsidRPr="00923653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1A604C" w:rsidRDefault="002827F1" w:rsidP="001A604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7F1">
              <w:rPr>
                <w:rFonts w:ascii="Arial" w:hAnsi="Arial" w:cs="Arial"/>
                <w:color w:val="000080"/>
                <w:sz w:val="16"/>
                <w:szCs w:val="16"/>
              </w:rPr>
              <w:t xml:space="preserve">Тест към лекция №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5</w:t>
            </w:r>
            <w:r w:rsidRPr="002827F1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2827F1">
              <w:rPr>
                <w:rFonts w:ascii="Arial" w:hAnsi="Arial" w:cs="Arial"/>
                <w:sz w:val="16"/>
                <w:szCs w:val="16"/>
              </w:rPr>
              <w:t>(Приложен съгласно таблици 4 и 5)</w:t>
            </w:r>
          </w:p>
          <w:p w:rsidR="002827F1" w:rsidRPr="001A604C" w:rsidRDefault="001A604C" w:rsidP="00366936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604C">
              <w:rPr>
                <w:rFonts w:ascii="Arial" w:hAnsi="Arial" w:cs="Arial"/>
                <w:color w:val="000080"/>
                <w:sz w:val="16"/>
                <w:szCs w:val="16"/>
              </w:rPr>
              <w:t xml:space="preserve">Учебна задача към лекция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№ 5</w:t>
            </w:r>
            <w:r w:rsidRPr="001A604C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Pr="001A604C">
              <w:rPr>
                <w:rFonts w:ascii="Arial" w:hAnsi="Arial" w:cs="Arial"/>
                <w:color w:val="000080"/>
                <w:sz w:val="16"/>
                <w:szCs w:val="16"/>
                <w:lang w:val="ru-RU"/>
              </w:rPr>
              <w:t xml:space="preserve"> </w:t>
            </w:r>
            <w:r w:rsidRPr="001A604C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proofErr w:type="spellStart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>uchebna</w:t>
            </w:r>
            <w:proofErr w:type="spellEnd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6936">
              <w:rPr>
                <w:rFonts w:ascii="Arial" w:hAnsi="Arial" w:cs="Arial"/>
                <w:sz w:val="16"/>
                <w:szCs w:val="16"/>
                <w:lang w:val="en-US"/>
              </w:rPr>
              <w:t>zadacha</w:t>
            </w:r>
            <w:proofErr w:type="spellEnd"/>
            <w:r w:rsidRPr="001A60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A604C">
              <w:rPr>
                <w:rFonts w:ascii="Arial" w:hAnsi="Arial" w:cs="Arial"/>
                <w:sz w:val="16"/>
                <w:szCs w:val="16"/>
              </w:rPr>
              <w:t>.docx)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9D3810" w:rsidP="009D3810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="005A34C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8B6975" w:rsidRDefault="008B6975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A34CE" w:rsidRPr="00134BD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570" cy="115570"/>
                  <wp:effectExtent l="0" t="0" r="0" b="0"/>
                  <wp:docPr id="26" name="Picture 26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D3810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 </w:t>
            </w:r>
            <w:r w:rsidR="009D3810">
              <w:rPr>
                <w:rFonts w:ascii="Arial" w:hAnsi="Arial" w:cs="Arial"/>
                <w:sz w:val="16"/>
                <w:szCs w:val="16"/>
              </w:rPr>
              <w:t>(Файл pr..</w:t>
            </w:r>
            <w:r w:rsidRPr="00923653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5A34CE" w:rsidRPr="00BB3F8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</w:t>
            </w:r>
            <w:r w:rsidR="00134B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ия № 4: </w:t>
            </w:r>
          </w:p>
        </w:tc>
      </w:tr>
      <w:tr w:rsidR="005A34CE" w:rsidRPr="00923653" w:rsidTr="00A904E9">
        <w:trPr>
          <w:trHeight w:val="4602"/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134BD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CE" w:rsidRPr="00923653" w:rsidRDefault="00134BD7" w:rsidP="00A904E9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5: 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134BD7" w:rsidP="00A904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№ 6: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7E4FB5" w:rsidRDefault="005A34CE" w:rsidP="00A904E9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5A34CE" w:rsidP="00A904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7: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Default="005A34CE" w:rsidP="00A904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134BD7" w:rsidRPr="00923653" w:rsidRDefault="00134BD7" w:rsidP="00A904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5A34CE" w:rsidP="00A904E9">
                  <w:pPr>
                    <w:pStyle w:val="NormalWeb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134BD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8: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Default="005A34CE" w:rsidP="00134BD7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134BD7" w:rsidRPr="00923653" w:rsidRDefault="00134BD7" w:rsidP="00134BD7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34CE" w:rsidRPr="00923653" w:rsidRDefault="005A34CE" w:rsidP="005A34CE">
      <w:pPr>
        <w:rPr>
          <w:b/>
          <w:i/>
        </w:rPr>
      </w:pPr>
    </w:p>
    <w:p w:rsidR="005A34CE" w:rsidRPr="00923653" w:rsidRDefault="005A34CE" w:rsidP="005A34CE">
      <w:pPr>
        <w:rPr>
          <w:b/>
          <w:i/>
        </w:rPr>
      </w:pPr>
    </w:p>
    <w:p w:rsidR="005A34CE" w:rsidRPr="00923653" w:rsidRDefault="005A34CE" w:rsidP="005A34CE">
      <w:pPr>
        <w:rPr>
          <w:b/>
          <w:i/>
        </w:rPr>
      </w:pPr>
    </w:p>
    <w:p w:rsidR="005A34CE" w:rsidRPr="00923653" w:rsidRDefault="005A34CE" w:rsidP="005A34CE">
      <w:pPr>
        <w:rPr>
          <w:rFonts w:ascii="Arial" w:hAnsi="Arial" w:cs="Arial"/>
          <w:sz w:val="18"/>
          <w:szCs w:val="18"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>Табл. 3. Информация за учебните задачи (цели, указания, срокове и други)</w:t>
      </w:r>
    </w:p>
    <w:p w:rsidR="005A34CE" w:rsidRPr="00923653" w:rsidRDefault="005A34CE" w:rsidP="005A34C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1942AD" w:rsidRDefault="002827F1" w:rsidP="008B783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4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Pr="001942AD">
              <w:rPr>
                <w:rFonts w:ascii="Arial" w:hAnsi="Arial" w:cs="Arial"/>
                <w:sz w:val="18"/>
                <w:szCs w:val="18"/>
              </w:rPr>
              <w:t xml:space="preserve">Целта на задачата е да се разгледат и </w:t>
            </w:r>
            <w:r w:rsidR="001942AD" w:rsidRPr="001942AD">
              <w:rPr>
                <w:rFonts w:ascii="Arial" w:hAnsi="Arial" w:cs="Arial"/>
                <w:sz w:val="18"/>
                <w:szCs w:val="18"/>
              </w:rPr>
              <w:t>коментират приликите и разликите между общата подкрепа и допълнителната подкрепа за личностно развитие в системата на приобщаващото образование.</w:t>
            </w:r>
          </w:p>
          <w:p w:rsidR="002827F1" w:rsidRPr="001942AD" w:rsidRDefault="002827F1" w:rsidP="008B783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923653" w:rsidRDefault="002827F1" w:rsidP="008B7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2AD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</w:t>
            </w:r>
            <w:r w:rsidR="001942AD">
              <w:rPr>
                <w:rFonts w:ascii="Arial" w:hAnsi="Arial" w:cs="Arial"/>
                <w:sz w:val="18"/>
                <w:szCs w:val="18"/>
              </w:rPr>
              <w:t>Учебна задача № 4</w:t>
            </w:r>
            <w:r w:rsidRPr="001942AD">
              <w:rPr>
                <w:rFonts w:ascii="Arial" w:hAnsi="Arial" w:cs="Arial"/>
                <w:sz w:val="18"/>
                <w:szCs w:val="18"/>
              </w:rPr>
              <w:t>”. Положителната оценка от изпълнението на задачата е условие за успешно приключване на подготовката, предвидена в съдържанието на лекция</w:t>
            </w:r>
            <w:r w:rsidR="001942AD">
              <w:rPr>
                <w:rFonts w:ascii="Arial" w:hAnsi="Arial" w:cs="Arial"/>
                <w:sz w:val="18"/>
                <w:szCs w:val="18"/>
              </w:rPr>
              <w:t xml:space="preserve"> № 4</w:t>
            </w:r>
            <w:r w:rsidRPr="001942A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27F1" w:rsidRPr="00923653" w:rsidRDefault="002827F1" w:rsidP="008B78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942AD" w:rsidRDefault="002827F1" w:rsidP="002827F1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5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  <w:r w:rsidR="001942AD" w:rsidRPr="001942AD">
              <w:rPr>
                <w:rFonts w:ascii="Arial" w:hAnsi="Arial" w:cs="Arial"/>
                <w:sz w:val="18"/>
                <w:szCs w:val="18"/>
              </w:rPr>
              <w:t>Целта на задачата е да се</w:t>
            </w:r>
            <w:r w:rsidR="001942AD">
              <w:rPr>
                <w:rFonts w:ascii="Arial" w:hAnsi="Arial" w:cs="Arial"/>
                <w:sz w:val="18"/>
                <w:szCs w:val="18"/>
              </w:rPr>
              <w:t xml:space="preserve"> направи сравнителна характеристика</w:t>
            </w:r>
            <w:r w:rsidR="00254AED">
              <w:rPr>
                <w:rFonts w:ascii="Arial" w:hAnsi="Arial" w:cs="Arial"/>
                <w:sz w:val="18"/>
                <w:szCs w:val="18"/>
              </w:rPr>
              <w:t xml:space="preserve"> на възможностите за приобщаващо образование при различните степени на интелектуална недостатъчност според МКБ – 10.</w:t>
            </w:r>
          </w:p>
          <w:p w:rsidR="00254AED" w:rsidRDefault="00254AED" w:rsidP="002827F1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942AD" w:rsidRPr="00923653" w:rsidRDefault="001942AD" w:rsidP="001942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2AD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</w:t>
            </w:r>
            <w:r>
              <w:rPr>
                <w:rFonts w:ascii="Arial" w:hAnsi="Arial" w:cs="Arial"/>
                <w:sz w:val="18"/>
                <w:szCs w:val="18"/>
              </w:rPr>
              <w:t>Учебна задача</w:t>
            </w:r>
            <w:r>
              <w:rPr>
                <w:rFonts w:ascii="Arial" w:hAnsi="Arial" w:cs="Arial"/>
                <w:sz w:val="18"/>
                <w:szCs w:val="18"/>
              </w:rPr>
              <w:t xml:space="preserve"> № 5</w:t>
            </w:r>
            <w:r w:rsidRPr="001942AD">
              <w:rPr>
                <w:rFonts w:ascii="Arial" w:hAnsi="Arial" w:cs="Arial"/>
                <w:sz w:val="18"/>
                <w:szCs w:val="18"/>
              </w:rPr>
              <w:t>”. Положителната оценка от изпълнението на задачата е условие за успешно приключване на подготовката, предвидена в съдържанието на лекция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№ 5</w:t>
            </w:r>
            <w:r w:rsidRPr="001942A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42AD" w:rsidRPr="00923653" w:rsidRDefault="001942AD" w:rsidP="002827F1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923653" w:rsidRDefault="001A604C" w:rsidP="002827F1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6</w:t>
            </w:r>
            <w:r w:rsidR="002827F1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923653" w:rsidRDefault="001A604C" w:rsidP="002827F1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7.</w:t>
            </w:r>
          </w:p>
        </w:tc>
      </w:tr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923653" w:rsidRDefault="001A604C" w:rsidP="002827F1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8</w:t>
            </w:r>
            <w:r w:rsidR="002827F1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2827F1" w:rsidRPr="00923653" w:rsidTr="008B7830">
        <w:trPr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827F1" w:rsidRPr="00923653" w:rsidRDefault="001A604C" w:rsidP="002827F1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9</w:t>
            </w:r>
            <w:r w:rsidR="002827F1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2827F1" w:rsidRPr="00923653" w:rsidTr="008B7830">
        <w:trPr>
          <w:trHeight w:val="1134"/>
          <w:jc w:val="center"/>
        </w:trPr>
        <w:tc>
          <w:tcPr>
            <w:tcW w:w="0" w:type="auto"/>
            <w:shd w:val="clear" w:color="auto" w:fill="auto"/>
          </w:tcPr>
          <w:p w:rsidR="002827F1" w:rsidRPr="00923653" w:rsidRDefault="002827F1" w:rsidP="008B7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27F1" w:rsidRPr="00923653" w:rsidRDefault="001A604C" w:rsidP="001A60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10</w:t>
            </w:r>
            <w:r w:rsidR="002827F1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A604C" w:rsidRPr="00923653" w:rsidTr="008B7830">
        <w:trPr>
          <w:trHeight w:val="1134"/>
          <w:jc w:val="center"/>
        </w:trPr>
        <w:tc>
          <w:tcPr>
            <w:tcW w:w="0" w:type="auto"/>
            <w:shd w:val="clear" w:color="auto" w:fill="auto"/>
          </w:tcPr>
          <w:p w:rsidR="001A604C" w:rsidRPr="00923653" w:rsidRDefault="001A604C" w:rsidP="008B7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Учебна задача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A34CE" w:rsidRDefault="005A34CE" w:rsidP="005A34CE">
      <w:pPr>
        <w:jc w:val="both"/>
        <w:rPr>
          <w:sz w:val="22"/>
          <w:szCs w:val="22"/>
        </w:rPr>
      </w:pPr>
    </w:p>
    <w:p w:rsidR="005A34CE" w:rsidRDefault="005A34CE" w:rsidP="005A34CE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:rsidR="005A34CE" w:rsidRDefault="005A34CE" w:rsidP="005A34C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680F32" w:rsidRDefault="005A34CE" w:rsidP="00A904E9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5A34CE" w:rsidRPr="00680F32" w:rsidRDefault="005A34CE" w:rsidP="00A904E9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6.00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5.00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4.00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3.00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0 – 49 %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2.00</w:t>
            </w:r>
          </w:p>
        </w:tc>
      </w:tr>
    </w:tbl>
    <w:p w:rsidR="005A34CE" w:rsidRDefault="005A34CE" w:rsidP="005A34CE">
      <w:pPr>
        <w:rPr>
          <w:b/>
          <w:i/>
        </w:rPr>
      </w:pPr>
    </w:p>
    <w:p w:rsidR="005A34CE" w:rsidRDefault="005A34CE" w:rsidP="005A34CE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5A34CE" w:rsidRDefault="005A34CE" w:rsidP="005A34C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5"/>
      </w:tblGrid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D35225" w:rsidRDefault="005A34CE" w:rsidP="00A904E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Име на теста</w:t>
            </w: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Категории в банката с въпроси:</w:t>
            </w:r>
            <w:r>
              <w:rPr>
                <w:b/>
                <w:color w:val="FF0000"/>
              </w:rPr>
              <w:t xml:space="preserve"> </w:t>
            </w:r>
            <w:r w:rsidRPr="00D35225">
              <w:rPr>
                <w:b/>
                <w:color w:val="FF0000"/>
              </w:rPr>
              <w:t>брой случайно избрани въпроси</w:t>
            </w: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</w:tbl>
    <w:p w:rsidR="005A34CE" w:rsidRDefault="005A34CE" w:rsidP="005A34CE">
      <w:pPr>
        <w:rPr>
          <w:b/>
          <w:i/>
        </w:rPr>
      </w:pPr>
    </w:p>
    <w:p w:rsidR="005A34CE" w:rsidRDefault="005A34CE" w:rsidP="005A34CE">
      <w:pPr>
        <w:rPr>
          <w:b/>
          <w:i/>
        </w:rPr>
      </w:pPr>
    </w:p>
    <w:p w:rsidR="005A34CE" w:rsidRPr="00923653" w:rsidRDefault="005A34CE" w:rsidP="005A34CE">
      <w:pPr>
        <w:jc w:val="both"/>
        <w:rPr>
          <w:sz w:val="22"/>
          <w:szCs w:val="22"/>
        </w:rPr>
      </w:pPr>
    </w:p>
    <w:p w:rsidR="005A34CE" w:rsidRPr="007E4FB5" w:rsidRDefault="001D041F" w:rsidP="005A34CE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Септември, 201</w:t>
      </w:r>
      <w:r>
        <w:rPr>
          <w:b/>
          <w:sz w:val="18"/>
          <w:szCs w:val="18"/>
          <w:lang w:val="en-US"/>
        </w:rPr>
        <w:t>6</w:t>
      </w:r>
      <w:r w:rsidR="005A34CE" w:rsidRPr="00923653">
        <w:rPr>
          <w:b/>
          <w:sz w:val="18"/>
          <w:szCs w:val="18"/>
        </w:rPr>
        <w:t xml:space="preserve"> </w:t>
      </w:r>
      <w:r w:rsidR="005A34CE" w:rsidRPr="00923653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 w:rsidRPr="00923653">
        <w:rPr>
          <w:b/>
          <w:sz w:val="18"/>
          <w:szCs w:val="18"/>
        </w:rPr>
        <w:t>Изготвил,</w:t>
      </w:r>
    </w:p>
    <w:p w:rsidR="005A34CE" w:rsidRPr="003C2D4C" w:rsidRDefault="005A34CE" w:rsidP="005A34C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="001D041F">
        <w:rPr>
          <w:b/>
          <w:sz w:val="18"/>
          <w:szCs w:val="18"/>
          <w:lang w:val="ru-RU"/>
        </w:rPr>
        <w:t xml:space="preserve">Доц. </w:t>
      </w:r>
      <w:r w:rsidR="001D041F">
        <w:rPr>
          <w:b/>
          <w:sz w:val="18"/>
          <w:szCs w:val="18"/>
        </w:rPr>
        <w:t>И</w:t>
      </w:r>
      <w:r w:rsidR="001D041F">
        <w:rPr>
          <w:b/>
          <w:sz w:val="18"/>
          <w:szCs w:val="18"/>
          <w:lang w:val="ru-RU"/>
        </w:rPr>
        <w:t>. Петкова, д.п</w:t>
      </w:r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</w:p>
    <w:p w:rsidR="00A17052" w:rsidRDefault="00A17052"/>
    <w:sectPr w:rsidR="00A17052" w:rsidSect="003C2D4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C2" w:rsidRDefault="00FE75C2">
      <w:r>
        <w:separator/>
      </w:r>
    </w:p>
  </w:endnote>
  <w:endnote w:type="continuationSeparator" w:id="0">
    <w:p w:rsidR="00FE75C2" w:rsidRDefault="00F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q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" strokeweight=".5pt"/>
          </w:pict>
        </mc:Fallback>
      </mc:AlternateContent>
    </w:r>
  </w:p>
  <w:p w:rsidR="00356B46" w:rsidRPr="005E112E" w:rsidRDefault="000A3F21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55" name="Straight Connector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ft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" strokeweight=".5pt"/>
          </w:pict>
        </mc:Fallback>
      </mc:AlternateContent>
    </w:r>
  </w:p>
  <w:p w:rsidR="00356B46" w:rsidRPr="005E112E" w:rsidRDefault="000A3F21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66936"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366936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54" name="Straight Connector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eHQIAADg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" strokeweight=".5pt"/>
          </w:pict>
        </mc:Fallback>
      </mc:AlternateContent>
    </w:r>
  </w:p>
  <w:p w:rsidR="00356B46" w:rsidRDefault="000A3F21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0A3F21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2827F1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2827F1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C2" w:rsidRDefault="00FE75C2">
      <w:r>
        <w:separator/>
      </w:r>
    </w:p>
  </w:footnote>
  <w:footnote w:type="continuationSeparator" w:id="0">
    <w:p w:rsidR="00FE75C2" w:rsidRDefault="00FE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43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FE75C2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11.45pt;margin-top:-6.85pt;width:28.55pt;height:29.15pt;z-index:251662336">
                <v:imagedata r:id="rId1" o:title=""/>
              </v:shape>
              <o:OLEObject Type="Embed" ProgID="CorelDRAW.Graphic.10" ShapeID="_x0000_s2052" DrawAspect="Content" ObjectID="_1646047770" r:id="rId2"/>
            </w:pict>
          </w:r>
          <w:r w:rsidR="000A3F21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0A3F21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МЕДИЦИНСКИ КОЛЕЖ – ЦЕНТЪР ЗА ДИСТАНЦИОННО ОБУЧЕНИЕ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0315CA" w:rsidP="000315CA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="000A3F21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0A3F21">
            <w:rPr>
              <w:rFonts w:ascii="Arial" w:hAnsi="Arial" w:cs="Arial"/>
              <w:b/>
              <w:caps/>
              <w:sz w:val="22"/>
              <w:szCs w:val="22"/>
            </w:rPr>
            <w:t xml:space="preserve">СОЦИАЛНИ И ФАРМАЦЕВТИЧНИ 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дейности</w:t>
          </w:r>
          <w:r w:rsidR="000A3F21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FE75C2" w:rsidP="0035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alt="Description: pdf-256_32" style="width:7.7pt;height:7.7pt;visibility:visible;mso-wrap-style:square" o:bullet="t">
        <v:imagedata r:id="rId1" o:title="pdf-256_32"/>
      </v:shape>
    </w:pict>
  </w:numPicBullet>
  <w:numPicBullet w:numPicBulletId="1">
    <w:pict>
      <v:shape id="_x0000_i1140" type="#_x0000_t75" alt="Description: pdf-256_32" style="width:9.1pt;height:9.1pt;visibility:visible;mso-wrap-style:square" o:bullet="t">
        <v:imagedata r:id="rId2" o:title="pdf-256_32"/>
      </v:shape>
    </w:pict>
  </w:numPicBullet>
  <w:abstractNum w:abstractNumId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12CB8"/>
    <w:multiLevelType w:val="hybridMultilevel"/>
    <w:tmpl w:val="8A70515C"/>
    <w:lvl w:ilvl="0" w:tplc="C7443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AB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D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4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E8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CE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87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43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7C24A48"/>
    <w:multiLevelType w:val="hybridMultilevel"/>
    <w:tmpl w:val="BFAEE9FC"/>
    <w:lvl w:ilvl="0" w:tplc="2C7E5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4D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04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6D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CC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CC9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B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C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A0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3CE27AD8"/>
    <w:multiLevelType w:val="hybridMultilevel"/>
    <w:tmpl w:val="29C4AAC0"/>
    <w:lvl w:ilvl="0" w:tplc="FF74D3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E2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A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88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4D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2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2C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4D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E4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19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E"/>
    <w:rsid w:val="00006A9B"/>
    <w:rsid w:val="000136EC"/>
    <w:rsid w:val="000315CA"/>
    <w:rsid w:val="000A3F21"/>
    <w:rsid w:val="000C49E3"/>
    <w:rsid w:val="00134BD7"/>
    <w:rsid w:val="00155F15"/>
    <w:rsid w:val="00186D30"/>
    <w:rsid w:val="001942AD"/>
    <w:rsid w:val="001A604C"/>
    <w:rsid w:val="001D041F"/>
    <w:rsid w:val="00254AED"/>
    <w:rsid w:val="002827F1"/>
    <w:rsid w:val="00366936"/>
    <w:rsid w:val="00393F17"/>
    <w:rsid w:val="005A34CE"/>
    <w:rsid w:val="005D7C8F"/>
    <w:rsid w:val="00622067"/>
    <w:rsid w:val="00783B34"/>
    <w:rsid w:val="00792903"/>
    <w:rsid w:val="008369FD"/>
    <w:rsid w:val="0084608E"/>
    <w:rsid w:val="0085473C"/>
    <w:rsid w:val="008B6975"/>
    <w:rsid w:val="008F1664"/>
    <w:rsid w:val="009D3810"/>
    <w:rsid w:val="00A17052"/>
    <w:rsid w:val="00A55525"/>
    <w:rsid w:val="00BB3F87"/>
    <w:rsid w:val="00C02E8D"/>
    <w:rsid w:val="00CC26EF"/>
    <w:rsid w:val="00CE1E15"/>
    <w:rsid w:val="00D12AB9"/>
    <w:rsid w:val="00D9799E"/>
    <w:rsid w:val="00F84177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A34CE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5A34CE"/>
  </w:style>
  <w:style w:type="character" w:customStyle="1" w:styleId="accesshide">
    <w:name w:val="accesshide"/>
    <w:basedOn w:val="DefaultParagraphFont"/>
    <w:rsid w:val="005A34CE"/>
  </w:style>
  <w:style w:type="character" w:styleId="Strong">
    <w:name w:val="Strong"/>
    <w:qFormat/>
    <w:rsid w:val="005A34CE"/>
    <w:rPr>
      <w:b/>
      <w:bCs/>
    </w:rPr>
  </w:style>
  <w:style w:type="character" w:styleId="Hyperlink">
    <w:name w:val="Hyperlink"/>
    <w:rsid w:val="005A34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34CE"/>
  </w:style>
  <w:style w:type="character" w:customStyle="1" w:styleId="nolink">
    <w:name w:val="nolink"/>
    <w:basedOn w:val="DefaultParagraphFont"/>
    <w:rsid w:val="005A34CE"/>
  </w:style>
  <w:style w:type="character" w:styleId="FollowedHyperlink">
    <w:name w:val="FollowedHyperlink"/>
    <w:rsid w:val="005A34CE"/>
    <w:rPr>
      <w:color w:val="800080"/>
      <w:u w:val="single"/>
    </w:rPr>
  </w:style>
  <w:style w:type="paragraph" w:styleId="Header">
    <w:name w:val="header"/>
    <w:basedOn w:val="Normal"/>
    <w:link w:val="HeaderChar"/>
    <w:rsid w:val="005A34C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A34C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5A34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34C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A34CE"/>
  </w:style>
  <w:style w:type="character" w:customStyle="1" w:styleId="st11Char">
    <w:name w:val="st_1.1 Char"/>
    <w:link w:val="st11"/>
    <w:rsid w:val="005A34CE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5A34CE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CE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A34CE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5A34CE"/>
  </w:style>
  <w:style w:type="character" w:customStyle="1" w:styleId="accesshide">
    <w:name w:val="accesshide"/>
    <w:basedOn w:val="DefaultParagraphFont"/>
    <w:rsid w:val="005A34CE"/>
  </w:style>
  <w:style w:type="character" w:styleId="Strong">
    <w:name w:val="Strong"/>
    <w:qFormat/>
    <w:rsid w:val="005A34CE"/>
    <w:rPr>
      <w:b/>
      <w:bCs/>
    </w:rPr>
  </w:style>
  <w:style w:type="character" w:styleId="Hyperlink">
    <w:name w:val="Hyperlink"/>
    <w:rsid w:val="005A34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34CE"/>
  </w:style>
  <w:style w:type="character" w:customStyle="1" w:styleId="nolink">
    <w:name w:val="nolink"/>
    <w:basedOn w:val="DefaultParagraphFont"/>
    <w:rsid w:val="005A34CE"/>
  </w:style>
  <w:style w:type="character" w:styleId="FollowedHyperlink">
    <w:name w:val="FollowedHyperlink"/>
    <w:rsid w:val="005A34CE"/>
    <w:rPr>
      <w:color w:val="800080"/>
      <w:u w:val="single"/>
    </w:rPr>
  </w:style>
  <w:style w:type="paragraph" w:styleId="Header">
    <w:name w:val="header"/>
    <w:basedOn w:val="Normal"/>
    <w:link w:val="HeaderChar"/>
    <w:rsid w:val="005A34C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A34C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5A34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34C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A34CE"/>
  </w:style>
  <w:style w:type="character" w:customStyle="1" w:styleId="st11Char">
    <w:name w:val="st_1.1 Char"/>
    <w:link w:val="st11"/>
    <w:rsid w:val="005A34CE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5A34CE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CE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D869-4DC1-4580-9859-BEE4030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plamen</cp:lastModifiedBy>
  <cp:revision>18</cp:revision>
  <dcterms:created xsi:type="dcterms:W3CDTF">2016-11-22T12:11:00Z</dcterms:created>
  <dcterms:modified xsi:type="dcterms:W3CDTF">2020-03-18T12:42:00Z</dcterms:modified>
</cp:coreProperties>
</file>