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FB7F" w14:textId="77777777" w:rsidR="00153E17" w:rsidRPr="00923653" w:rsidRDefault="00153E17" w:rsidP="00153E17">
      <w:pPr>
        <w:jc w:val="center"/>
        <w:rPr>
          <w:b/>
          <w:sz w:val="22"/>
          <w:szCs w:val="22"/>
        </w:rPr>
      </w:pPr>
    </w:p>
    <w:p w14:paraId="5CF1FF98" w14:textId="07AB981B" w:rsidR="00830690" w:rsidRPr="00012AC1" w:rsidRDefault="002A6E8E" w:rsidP="0015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НА ЧОВЕШКИТЕ РЕСУРСИ</w:t>
      </w:r>
    </w:p>
    <w:p w14:paraId="3B699670" w14:textId="5CBD1596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 xml:space="preserve"> </w:t>
      </w:r>
    </w:p>
    <w:p w14:paraId="2CF26371" w14:textId="77777777" w:rsidR="002A6E8E" w:rsidRPr="002A6E8E" w:rsidRDefault="00550412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ЗА СПЕЦИАЛНОСТ „</w:t>
      </w:r>
      <w:r w:rsidR="002A6E8E" w:rsidRPr="002A6E8E">
        <w:rPr>
          <w:b/>
        </w:rPr>
        <w:t>УПРАВЛЕНИЕ НА ЗДРАВНИТЕ ГРИЖИ</w:t>
      </w:r>
      <w:r w:rsidRPr="002A6E8E">
        <w:rPr>
          <w:b/>
        </w:rPr>
        <w:t>“</w:t>
      </w:r>
    </w:p>
    <w:p w14:paraId="4107FA7F" w14:textId="2B5739E0" w:rsidR="00153E17" w:rsidRPr="002A6E8E" w:rsidRDefault="002A6E8E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ОКС “МАГИСТЪР“ СЛЕД „БАКАЛАВЪР“ ПО СЪЩАТА СПЕЦИАЛНОСТ</w:t>
      </w:r>
      <w:r w:rsidR="00550412" w:rsidRPr="002A6E8E">
        <w:rPr>
          <w:b/>
        </w:rPr>
        <w:t xml:space="preserve"> </w:t>
      </w:r>
    </w:p>
    <w:p w14:paraId="3F2E0CD1" w14:textId="563CABD0" w:rsidR="00012AC1" w:rsidRPr="002A6E8E" w:rsidRDefault="002A6E8E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ПЪРВИ КУРС</w:t>
      </w:r>
      <w:r w:rsidR="00012AC1" w:rsidRPr="002A6E8E">
        <w:rPr>
          <w:b/>
        </w:rPr>
        <w:t xml:space="preserve">, </w:t>
      </w:r>
      <w:r w:rsidRPr="002A6E8E">
        <w:rPr>
          <w:b/>
        </w:rPr>
        <w:t>2-РИ</w:t>
      </w:r>
      <w:r w:rsidR="00012AC1" w:rsidRPr="002A6E8E">
        <w:rPr>
          <w:b/>
        </w:rPr>
        <w:t xml:space="preserve"> СЕМЕСТЪР</w:t>
      </w:r>
    </w:p>
    <w:p w14:paraId="6A21BF4A" w14:textId="4D7448D3" w:rsidR="00153E17" w:rsidRPr="00923653" w:rsidRDefault="00153E17" w:rsidP="00153E17">
      <w:pPr>
        <w:jc w:val="center"/>
      </w:pPr>
    </w:p>
    <w:p w14:paraId="2BB45BF7" w14:textId="77777777" w:rsidR="00153E17" w:rsidRPr="00923653" w:rsidRDefault="00153E17" w:rsidP="00153E17">
      <w:pPr>
        <w:jc w:val="center"/>
      </w:pPr>
    </w:p>
    <w:p w14:paraId="4138E3A7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14:paraId="3E825E1A" w14:textId="77777777" w:rsidR="00153E17" w:rsidRPr="00923653" w:rsidRDefault="00153E17" w:rsidP="00153E17">
      <w:pPr>
        <w:jc w:val="center"/>
        <w:rPr>
          <w:b/>
        </w:rPr>
      </w:pPr>
    </w:p>
    <w:p w14:paraId="2A60DC85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14:paraId="60F8A252" w14:textId="77777777" w:rsidR="00356B46" w:rsidRPr="00923653" w:rsidRDefault="00356B46" w:rsidP="008063C4">
      <w:pPr>
        <w:jc w:val="center"/>
        <w:rPr>
          <w:b/>
          <w:sz w:val="22"/>
          <w:szCs w:val="22"/>
        </w:rPr>
      </w:pPr>
    </w:p>
    <w:p w14:paraId="427D164D" w14:textId="77777777" w:rsidR="00164C5F" w:rsidRPr="00923653" w:rsidRDefault="00164C5F" w:rsidP="008063C4">
      <w:pPr>
        <w:jc w:val="center"/>
        <w:rPr>
          <w:b/>
          <w:sz w:val="22"/>
          <w:szCs w:val="22"/>
        </w:rPr>
      </w:pPr>
    </w:p>
    <w:p w14:paraId="53CD701F" w14:textId="77777777"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14:paraId="1405EA4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534189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14:paraId="415C88F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1FA7B64" w14:textId="40648186" w:rsidR="005A674F" w:rsidRPr="00923653" w:rsidRDefault="003D3E91" w:rsidP="004B3B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E91">
              <w:rPr>
                <w:rFonts w:ascii="Arial" w:hAnsi="Arial" w:cs="Arial"/>
                <w:sz w:val="18"/>
                <w:szCs w:val="18"/>
              </w:rPr>
              <w:t>Учебната дисциплина “Управление на човешките ресурси” е задължителна и се изучава в първи семестър на обучение в образователно-квалификационна степен “Магистър” по специалност „</w:t>
            </w:r>
            <w:r>
              <w:rPr>
                <w:rFonts w:ascii="Arial" w:hAnsi="Arial" w:cs="Arial"/>
                <w:sz w:val="18"/>
                <w:szCs w:val="18"/>
              </w:rPr>
              <w:t>Управление на здравните грижи</w:t>
            </w:r>
            <w:r w:rsidRPr="003D3E91">
              <w:rPr>
                <w:rFonts w:ascii="Arial" w:hAnsi="Arial" w:cs="Arial"/>
                <w:sz w:val="18"/>
                <w:szCs w:val="18"/>
              </w:rPr>
              <w:t>”</w:t>
            </w:r>
            <w:r w:rsidR="000B60B7">
              <w:rPr>
                <w:rFonts w:ascii="Arial" w:hAnsi="Arial" w:cs="Arial"/>
                <w:sz w:val="18"/>
                <w:szCs w:val="18"/>
              </w:rPr>
              <w:t xml:space="preserve"> след бакалавър по същата специалност</w:t>
            </w:r>
            <w:r w:rsidRPr="003D3E91">
              <w:rPr>
                <w:rFonts w:ascii="Arial" w:hAnsi="Arial" w:cs="Arial"/>
                <w:sz w:val="18"/>
                <w:szCs w:val="18"/>
              </w:rPr>
              <w:t>. В съдържанието на учебната дисциплина се разглеждат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</w:p>
        </w:tc>
      </w:tr>
      <w:tr w:rsidR="005A674F" w:rsidRPr="00923653" w14:paraId="1FE5F31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6002DB3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14:paraId="4B5C3B9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3CCD3E" w14:textId="77777777" w:rsidR="005A674F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Гена Георгиева Грънчарова, д.м.</w:t>
            </w:r>
          </w:p>
          <w:p w14:paraId="7BF7A0FA" w14:textId="77777777" w:rsidR="00DE1548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Проф. д-р Силвия Стоянова Александрова-Янкуловска, д.м.н.</w:t>
            </w:r>
          </w:p>
          <w:p w14:paraId="53AA67C8" w14:textId="7747C73F" w:rsidR="00DE1548" w:rsidRPr="00923653" w:rsidRDefault="00DE1548" w:rsidP="003D3E91">
            <w:pPr>
              <w:ind w:left="720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A674F" w:rsidRPr="00923653" w14:paraId="328841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C6826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14:paraId="764B923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0FF938A" w14:textId="4D9E6251" w:rsidR="00DE1548" w:rsidRPr="00651582" w:rsidRDefault="00DE1548" w:rsidP="00DE1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в катедра „Обшественоздравни науки“ на Факултет „Обществено здраве“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водещите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хабилитирани преподаватели, на които е възложено преподаването по тази учебна дисциплина.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на заседание на катедрения съвет на катедра „Общественоздравни науки“.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е актуализирано за учебната 2019-2020 г. Програмата влиза в сила след утвърждаване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Декана на Факултет „</w:t>
            </w:r>
            <w:r w:rsidR="003D3E9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Обществено здраве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51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B9427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3F9EEB" w14:textId="79416F2F" w:rsidR="00BC0D32" w:rsidRPr="00923653" w:rsidRDefault="00DD47A6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BAC0F9" wp14:editId="456D9A63">
                  <wp:extent cx="102235" cy="102235"/>
                  <wp:effectExtent l="0" t="0" r="0" b="0"/>
                  <wp:docPr id="5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0B60B7" w:rsidRPr="000B60B7">
              <w:rPr>
                <w:rFonts w:ascii="Arial" w:hAnsi="Arial" w:cs="Arial"/>
                <w:i/>
                <w:sz w:val="18"/>
                <w:szCs w:val="18"/>
              </w:rPr>
              <w:t>УЧР-УЗГ-маг.1г.-Учебна програма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r>
              <w:rPr>
                <w:rFonts w:ascii="Arial" w:hAnsi="Arial" w:cs="Arial"/>
                <w:i/>
                <w:sz w:val="18"/>
                <w:szCs w:val="18"/>
              </w:rPr>
              <w:t>х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C075DD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176669E" w14:textId="77777777"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52DD374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C361C01" w14:textId="17075A9E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14:paraId="1B0ABF4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7DA638" w14:textId="16DB93C8" w:rsidR="00830690" w:rsidRPr="00923653" w:rsidRDefault="004C6316" w:rsidP="00830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 за студенти от МУ – Плевен в 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задочна </w:t>
            </w:r>
            <w:r w:rsidRPr="00923653">
              <w:rPr>
                <w:rFonts w:ascii="Arial" w:hAnsi="Arial" w:cs="Arial"/>
                <w:sz w:val="18"/>
                <w:szCs w:val="18"/>
              </w:rPr>
              <w:t>форма на обучение по специалност „</w:t>
            </w:r>
            <w:r w:rsidR="003D3E91">
              <w:rPr>
                <w:rFonts w:ascii="Arial" w:hAnsi="Arial" w:cs="Arial"/>
                <w:sz w:val="18"/>
                <w:szCs w:val="18"/>
              </w:rPr>
              <w:t>Управление на здравните грижи“ на ОКС „Магистър“</w:t>
            </w:r>
            <w:r w:rsidR="002A6E8E">
              <w:rPr>
                <w:rFonts w:ascii="Arial" w:hAnsi="Arial" w:cs="Arial"/>
                <w:sz w:val="18"/>
                <w:szCs w:val="18"/>
              </w:rPr>
              <w:t xml:space="preserve"> след придобита бакалавърска степен по същата </w:t>
            </w:r>
            <w:r w:rsidR="000B60B7">
              <w:rPr>
                <w:rFonts w:ascii="Arial" w:hAnsi="Arial" w:cs="Arial"/>
                <w:sz w:val="18"/>
                <w:szCs w:val="18"/>
              </w:rPr>
              <w:t>специалност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830690">
              <w:rPr>
                <w:rFonts w:ascii="Arial" w:hAnsi="Arial" w:cs="Arial"/>
                <w:sz w:val="18"/>
                <w:szCs w:val="18"/>
              </w:rPr>
              <w:t>1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23653">
              <w:rPr>
                <w:rFonts w:ascii="Arial" w:hAnsi="Arial" w:cs="Arial"/>
                <w:sz w:val="18"/>
                <w:szCs w:val="18"/>
              </w:rPr>
              <w:t>час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а лекции, разпределени в пет основни тематични единици по 3 часа всяка. </w:t>
            </w:r>
            <w:r w:rsidR="00F97874" w:rsidRP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Пособието „Управление на човешките ресурси” е предназначено за студенти в дистанционна форма – ОКС „Магистър” по специалност “</w:t>
            </w:r>
            <w:r w:rsid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Управление на здравните грижи</w:t>
            </w:r>
            <w:r w:rsidR="00F97874" w:rsidRP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”. Материалът в него засяга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  <w:r w:rsid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всяка </w:t>
            </w:r>
            <w:r w:rsidR="00F97874">
              <w:rPr>
                <w:rFonts w:ascii="Arial" w:hAnsi="Arial" w:cs="Arial"/>
                <w:sz w:val="18"/>
                <w:szCs w:val="18"/>
              </w:rPr>
              <w:t xml:space="preserve">от лекциите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>се предлага подробна презентация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 и тезиси на практически упражнения, съответстващи на темата на </w:t>
            </w:r>
            <w:r w:rsidR="00830690">
              <w:rPr>
                <w:rFonts w:ascii="Arial" w:hAnsi="Arial" w:cs="Arial"/>
                <w:sz w:val="18"/>
                <w:szCs w:val="18"/>
              </w:rPr>
              <w:lastRenderedPageBreak/>
              <w:t>лекцията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може да се използва и от 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студенти в другите специалности на МУ-Плевен, в чиито програми е включено изучаване на </w:t>
            </w:r>
            <w:r w:rsidR="00E52BA0">
              <w:rPr>
                <w:rFonts w:ascii="Arial" w:hAnsi="Arial" w:cs="Arial"/>
                <w:sz w:val="18"/>
                <w:szCs w:val="18"/>
              </w:rPr>
              <w:t xml:space="preserve">проблемите на управлението на човешките ресурси. </w:t>
            </w:r>
          </w:p>
          <w:p w14:paraId="6E9FDD85" w14:textId="275E78DA" w:rsidR="004C6316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216A1" w14:textId="65BAA22B" w:rsidR="00B54BF9" w:rsidRPr="004F501C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курс...</w:t>
            </w:r>
            <w:r w:rsidR="004F501C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r w:rsidR="004F501C" w:rsidRPr="004F501C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УЧР-УЗГ-маг. 1г.-Титул-лекционен курс.</w:t>
            </w:r>
            <w:bookmarkStart w:id="0" w:name="_GoBack"/>
            <w:bookmarkEnd w:id="0"/>
          </w:p>
          <w:p w14:paraId="192AD3C4" w14:textId="77777777"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39C8D24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659B030" w14:textId="6E601B21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</w:p>
        </w:tc>
      </w:tr>
      <w:tr w:rsidR="005A674F" w:rsidRPr="00923653" w14:paraId="2C1A464C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5BC60366" w14:textId="7BE41802" w:rsidR="00830690" w:rsidRPr="00940B98" w:rsidRDefault="00830690" w:rsidP="0083069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За разширяване на познанията в съответствие с представената учебна програма по дисциплината студентите се насочват към допълнителни източници</w:t>
            </w:r>
            <w:r w:rsidR="00A45F5D"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3B5C3EA" w14:textId="77777777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40B9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3F29ADB1" w14:textId="45437A6D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40B98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</w:t>
            </w:r>
            <w:r w:rsidR="00FF4DF9" w:rsidRPr="00940B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Препоръчаната основна и допълнителна литература са посочени във връзката по-долу.</w:t>
            </w:r>
          </w:p>
          <w:p w14:paraId="3CF9364B" w14:textId="4C7AE722" w:rsidR="00C61144" w:rsidRPr="00940B98" w:rsidRDefault="00545B15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 w:rsidR="000B60B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0B60B7" w:rsidRPr="000B60B7">
              <w:rPr>
                <w:rFonts w:ascii="Arial" w:hAnsi="Arial" w:cs="Arial"/>
                <w:i/>
                <w:sz w:val="18"/>
                <w:szCs w:val="18"/>
              </w:rPr>
              <w:t>УЧР-УЗГ-маг.1г.- литература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A45F5D" w:rsidRPr="00940B98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5C57363" w14:textId="56F554D8" w:rsidR="002A6E8E" w:rsidRPr="000B60B7" w:rsidRDefault="002A6E8E" w:rsidP="002A6E8E">
            <w:pPr>
              <w:pStyle w:val="NormalWeb"/>
              <w:shd w:val="clear" w:color="auto" w:fill="FFFFFF"/>
              <w:spacing w:line="132" w:lineRule="atLeast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>Допълнителни материали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</w:rPr>
              <w:t xml:space="preserve"> …….(файл: </w:t>
            </w:r>
            <w:r w:rsidR="000B60B7" w:rsidRPr="000B60B7">
              <w:rPr>
                <w:rFonts w:ascii="Arial" w:hAnsi="Arial" w:cs="Arial"/>
                <w:color w:val="000080"/>
                <w:sz w:val="18"/>
                <w:szCs w:val="18"/>
              </w:rPr>
              <w:t>УЧР-УЗГ-маг.1г.-Допълн. Материали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WinRar 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</w:rPr>
              <w:t>архив</w:t>
            </w:r>
          </w:p>
          <w:p w14:paraId="3C18F88C" w14:textId="1B69CA0F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395C4" wp14:editId="53A026A4">
                    <wp:extent cx="229870" cy="229870"/>
                    <wp:effectExtent l="0" t="0" r="0" b="0"/>
                    <wp:docPr id="33" name="Picture 33" descr=" 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 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10 съвета за създаване на страхотна система за оценка на персонала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503E73B" w14:textId="6933CA3F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A15607C" wp14:editId="0284D6C1">
                    <wp:extent cx="229870" cy="229870"/>
                    <wp:effectExtent l="0" t="0" r="0" b="0"/>
                    <wp:docPr id="31" name="Picture 31" descr=" 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 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11 съвета при писането на Автобиография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40C727F9" w14:textId="0D5AC2D0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BE59869" wp14:editId="705D1F9F">
                    <wp:extent cx="229870" cy="229870"/>
                    <wp:effectExtent l="0" t="0" r="0" b="0"/>
                    <wp:docPr id="26" name="Picture 26" descr=" 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 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Conflicts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355566C" w14:textId="49AEA6E1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214DF24" wp14:editId="22698D08">
                    <wp:extent cx="229870" cy="229870"/>
                    <wp:effectExtent l="0" t="0" r="0" b="0"/>
                    <wp:docPr id="25" name="Picture 25" descr=" 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 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CV пример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BE13457" w14:textId="5C4F12CE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5C1509A" wp14:editId="63B21316">
                    <wp:extent cx="229870" cy="229870"/>
                    <wp:effectExtent l="0" t="0" r="0" b="0"/>
                    <wp:docPr id="24" name="Picture 24" descr=" 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9A1D5E8" w14:textId="52C9A456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43E0CB1" wp14:editId="3C447126">
                    <wp:extent cx="229870" cy="229870"/>
                    <wp:effectExtent l="0" t="0" r="0" b="0"/>
                    <wp:docPr id="22" name="Picture 22" descr=" 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УЧР проф. Веков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097F921" w14:textId="7E36D74F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B79DFF6" wp14:editId="1280D145">
                    <wp:extent cx="229870" cy="229870"/>
                    <wp:effectExtent l="0" t="0" r="0" b="0"/>
                    <wp:docPr id="21" name="Picture 21" descr=" 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 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Метод за оценка на персонала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13D2448" w14:textId="23520858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D918501" wp14:editId="15802E46">
                    <wp:extent cx="229870" cy="229870"/>
                    <wp:effectExtent l="0" t="0" r="0" b="0"/>
                    <wp:docPr id="20" name="Picture 20" descr=" 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 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Motivation-X-Y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1A5A7F7" w14:textId="1657B22C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2A870C0" wp14:editId="740AF0B2">
                    <wp:extent cx="229870" cy="229870"/>
                    <wp:effectExtent l="0" t="0" r="0" b="0"/>
                    <wp:docPr id="19" name="Picture 19" descr=" 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 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За длъжностните характеристики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B295EFD" w14:textId="1FD8B965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2FA331F" wp14:editId="0415254A">
                    <wp:extent cx="229870" cy="229870"/>
                    <wp:effectExtent l="0" t="0" r="0" b="0"/>
                    <wp:docPr id="14" name="Picture 14" descr=" 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 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Имат ли място стандартите за работа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D2DC27D" w14:textId="74110BE5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7D6AC" wp14:editId="6F1F18F9">
                    <wp:extent cx="229870" cy="229870"/>
                    <wp:effectExtent l="0" t="0" r="0" b="0"/>
                    <wp:docPr id="13" name="Picture 13" descr=" 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 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Интервю-визия за бъдещето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F8B002F" w14:textId="3954B061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4356FC" wp14:editId="3B224F62">
                    <wp:extent cx="229870" cy="229870"/>
                    <wp:effectExtent l="0" t="0" r="0" b="0"/>
                    <wp:docPr id="12" name="Picture 12" descr=" 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 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Интервю-комбинирано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29315EB" w14:textId="6390D8D6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B6CCB80" wp14:editId="20278EB3">
                    <wp:extent cx="229870" cy="229870"/>
                    <wp:effectExtent l="0" t="0" r="0" b="0"/>
                    <wp:docPr id="11" name="Picture 11" descr=" 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 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Интервю-минал опит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FBCA22D" w14:textId="4326E692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7C7D20D" wp14:editId="2BF708A5">
                    <wp:extent cx="229870" cy="229870"/>
                    <wp:effectExtent l="0" t="0" r="0" b="0"/>
                    <wp:docPr id="10" name="Picture 10" descr=" 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 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Интервю-сегашно състояние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2A66EF6" w14:textId="21D2C8FF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EEEEEE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27D233C9" wp14:editId="7A32801A">
                    <wp:extent cx="229870" cy="229870"/>
                    <wp:effectExtent l="0" t="0" r="0" b="0"/>
                    <wp:docPr id="9" name="Picture 9" descr=" 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 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Какво да има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5FBD2AB" w14:textId="7759DC9B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4619718C" wp14:editId="4BB83D78">
                    <wp:extent cx="229870" cy="229870"/>
                    <wp:effectExtent l="0" t="0" r="0" b="0"/>
                    <wp:docPr id="8" name="Picture 8" descr=" 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 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Конфликтът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8CDDB56" w14:textId="5AAF69F2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925E54B" wp14:editId="58612676">
                    <wp:extent cx="229870" cy="229870"/>
                    <wp:effectExtent l="0" t="0" r="0" b="0"/>
                    <wp:docPr id="7" name="Picture 7" descr=" 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 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Осем лесни правила за управление на хора в малка фирма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C645DC3" w14:textId="408636DB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DA5B7E" wp14:editId="1B410BC8">
                    <wp:extent cx="229870" cy="229870"/>
                    <wp:effectExtent l="0" t="0" r="0" b="0"/>
                    <wp:docPr id="6" name="Picture 6" descr=" 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 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Пет основни слабости на 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16DF4C7" w14:textId="6E66A02A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CF4C42B" wp14:editId="454278CC">
                    <wp:extent cx="229870" cy="229870"/>
                    <wp:effectExtent l="0" t="0" r="0" b="0"/>
                    <wp:docPr id="5" name="Picture 5" descr=" 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 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Питър Дракър за привличането на способни служители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25468B5" w14:textId="7406E49A" w:rsidR="002A6E8E" w:rsidRPr="00940B98" w:rsidRDefault="00750184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 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Хало ефект и Дяволски ефект</w:t>
              </w:r>
              <w:r w:rsid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FA4B0AA" w14:textId="77777777" w:rsidR="00113B47" w:rsidRPr="00940B98" w:rsidRDefault="00113B47" w:rsidP="000B60B7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/>
              <w:ind w:left="0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4869791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707919A" w14:textId="5DB2B0CF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</w:p>
        </w:tc>
      </w:tr>
      <w:tr w:rsidR="005A674F" w:rsidRPr="00923653" w14:paraId="5775A4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3999F01" w14:textId="1E0055F5" w:rsidR="00164C5F" w:rsidRPr="00923653" w:rsidRDefault="00FF4DF9" w:rsidP="00FF4DF9">
            <w:p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учебна дисциплина включва само лекционен курс.</w:t>
            </w:r>
          </w:p>
        </w:tc>
      </w:tr>
      <w:tr w:rsidR="005A674F" w:rsidRPr="00923653" w14:paraId="6BB5076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736C875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31747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EA88B0" w14:textId="45FAC580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към лекциите </w:t>
            </w:r>
            <w:r w:rsidR="00FF4DF9">
              <w:rPr>
                <w:rFonts w:ascii="Arial" w:hAnsi="Arial" w:cs="Arial"/>
                <w:sz w:val="18"/>
                <w:szCs w:val="18"/>
              </w:rPr>
              <w:t>и в учебника по „Управление на здравните грижи“</w:t>
            </w:r>
            <w:r w:rsidR="0081708F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8A824F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5D749" w14:textId="7DD8B09D" w:rsidR="00B6735D" w:rsidRPr="00923653" w:rsidRDefault="00DD47A6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0F8CAF" wp14:editId="0836BC0E">
                  <wp:extent cx="102235" cy="102235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0B60B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0B60B7" w:rsidRPr="000B60B7">
              <w:rPr>
                <w:rFonts w:ascii="Arial" w:hAnsi="Arial" w:cs="Arial"/>
                <w:i/>
                <w:sz w:val="18"/>
                <w:szCs w:val="18"/>
              </w:rPr>
              <w:t>УЧР-УЗГ-маг.1г.-Конспект-сем.изпит-2020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0B60B7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910C30C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2AFE198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181C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28CEB1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042806" w14:textId="19FAE569" w:rsidR="00D041E4" w:rsidRDefault="00FF4DF9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Усвояването на материала от този лекционен курс се проверява с електронен тест от </w:t>
            </w:r>
            <w:r w:rsidR="007D5A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 въпроса, генерирани на в системата за дистанционна подготовка. </w:t>
            </w:r>
            <w:r w:rsidR="00744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1A1625" w14:textId="7AD081EC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D54A0" w14:textId="0FE683D2" w:rsidR="00C03F35" w:rsidRPr="000B60B7" w:rsidRDefault="00DD47A6" w:rsidP="00C03F35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951CAC" wp14:editId="290A2868">
                  <wp:extent cx="102235" cy="102235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AC1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за </w:t>
            </w:r>
            <w:r w:rsidR="00012AC1">
              <w:rPr>
                <w:rFonts w:ascii="Arial" w:hAnsi="Arial" w:cs="Arial"/>
                <w:color w:val="000080"/>
                <w:sz w:val="18"/>
                <w:szCs w:val="18"/>
              </w:rPr>
              <w:t>краен семестриален изпит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(</w:t>
            </w:r>
            <w:r w:rsidR="000B60B7">
              <w:rPr>
                <w:rFonts w:ascii="Arial" w:hAnsi="Arial" w:cs="Arial"/>
                <w:color w:val="000080"/>
                <w:sz w:val="18"/>
                <w:szCs w:val="18"/>
              </w:rPr>
              <w:t xml:space="preserve">Файл: </w:t>
            </w:r>
            <w:r w:rsidR="00730701" w:rsidRPr="00730701">
              <w:rPr>
                <w:rFonts w:ascii="Arial" w:hAnsi="Arial" w:cs="Arial"/>
                <w:color w:val="000080"/>
                <w:sz w:val="18"/>
                <w:szCs w:val="18"/>
              </w:rPr>
              <w:t>УЧР-УЗГ-маг.1г.-Testovi vaprosi</w:t>
            </w:r>
            <w:r w:rsidR="00730701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</w:p>
          <w:p w14:paraId="6D747C3A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D51D75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C8B0BD6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2305D8E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BE6909" w14:textId="0F74829E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</w:t>
            </w:r>
            <w:r w:rsidR="007E71FD">
              <w:rPr>
                <w:rFonts w:ascii="Arial" w:hAnsi="Arial" w:cs="Arial"/>
                <w:sz w:val="18"/>
                <w:szCs w:val="18"/>
              </w:rPr>
              <w:t xml:space="preserve">внимателно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направените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0ED06EF7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B466" w14:textId="14F408D7" w:rsidR="00411959" w:rsidRPr="00923653" w:rsidRDefault="00DD47A6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9B924" wp14:editId="2A86DA59">
                  <wp:extent cx="102235" cy="102235"/>
                  <wp:effectExtent l="0" t="0" r="0" b="0"/>
                  <wp:docPr id="17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730701" w:rsidRPr="00730701">
              <w:rPr>
                <w:rFonts w:ascii="Arial" w:hAnsi="Arial" w:cs="Arial"/>
                <w:i/>
                <w:sz w:val="18"/>
                <w:szCs w:val="18"/>
              </w:rPr>
              <w:t>УЧР-УЗГ-маг.1г.-Бележки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33E8F8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46224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4E65C6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25F81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2D40F3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731030" w14:textId="1CDD27EE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</w:t>
            </w:r>
            <w:r w:rsidR="002E6F58">
              <w:rPr>
                <w:rFonts w:ascii="Arial" w:hAnsi="Arial" w:cs="Arial"/>
                <w:sz w:val="18"/>
                <w:szCs w:val="18"/>
              </w:rPr>
              <w:t xml:space="preserve">използват форума за изпращане на съобщения до обучаемите и отговор на поставените от студентите въпроси.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A674F" w:rsidRPr="00923653" w14:paraId="4DBB273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CC5A91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4271783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904D0DD" w14:textId="77777777" w:rsidR="00012AC1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Консултациите по учебната дисциплина са присъствени и </w:t>
            </w:r>
            <w:r w:rsidR="00012AC1">
              <w:rPr>
                <w:rFonts w:ascii="Arial" w:hAnsi="Arial" w:cs="Arial"/>
                <w:sz w:val="18"/>
                <w:szCs w:val="18"/>
              </w:rPr>
              <w:t>дистанционни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CDCF2" w14:textId="4F54A3CB" w:rsidR="00012AC1" w:rsidRDefault="00330EC7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AC1">
              <w:rPr>
                <w:rFonts w:ascii="Arial" w:hAnsi="Arial" w:cs="Arial"/>
                <w:b/>
                <w:bCs/>
                <w:sz w:val="18"/>
                <w:szCs w:val="18"/>
              </w:rPr>
              <w:t>Присъствените консултации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</w:t>
            </w:r>
            <w:r w:rsidR="00012AC1">
              <w:rPr>
                <w:rFonts w:ascii="Arial" w:hAnsi="Arial" w:cs="Arial"/>
                <w:sz w:val="18"/>
                <w:szCs w:val="18"/>
              </w:rPr>
              <w:t xml:space="preserve">обявен на информационното табло за дисциплината в катедра „Общественоздравни науки“.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DB7DAF" w14:textId="120DAC29" w:rsidR="005A674F" w:rsidRPr="00923653" w:rsidRDefault="00012AC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bCs/>
                <w:sz w:val="18"/>
                <w:szCs w:val="18"/>
              </w:rPr>
              <w:t>Дистанционните консултации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провеждат чрез форума по дисциплината и чрез </w:t>
            </w:r>
            <w:r w:rsidR="00416779">
              <w:rPr>
                <w:rFonts w:ascii="Arial" w:hAnsi="Arial" w:cs="Arial"/>
                <w:sz w:val="18"/>
                <w:szCs w:val="18"/>
              </w:rPr>
              <w:t>индивидуални въпроси на студентите на електронните пощи на преподавателите.</w:t>
            </w:r>
          </w:p>
        </w:tc>
      </w:tr>
    </w:tbl>
    <w:p w14:paraId="161DC76D" w14:textId="77777777"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14:paraId="0F78543A" w14:textId="77777777"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43EE52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471A6A93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5B775860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0C8645F3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364469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3AEB2E69" w14:textId="77777777" w:rsidR="00E83BCE" w:rsidRPr="00923653" w:rsidRDefault="00E83BCE" w:rsidP="00A15E9B"/>
    <w:p w14:paraId="6B6049CF" w14:textId="77777777" w:rsidR="00E83BCE" w:rsidRPr="00923653" w:rsidRDefault="00E83BCE" w:rsidP="00A15E9B"/>
    <w:p w14:paraId="67FC77F8" w14:textId="77777777"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55F4B" w:rsidRPr="00923653" w14:paraId="3E5A728E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6EB20443" w14:textId="406DA4D2" w:rsidR="00B55F4B" w:rsidRPr="007442DB" w:rsidRDefault="007442DB" w:rsidP="000174A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>: Основни функции по управление на човешките ресурси</w:t>
            </w:r>
            <w:r w:rsidRPr="007442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5678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A15E9B" w:rsidRPr="00923653" w14:paraId="0B5768B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59E190C" w14:textId="77777777" w:rsidR="008726F0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ази лекция </w:t>
            </w:r>
            <w:r>
              <w:rPr>
                <w:rFonts w:ascii="Arial" w:hAnsi="Arial" w:cs="Arial"/>
                <w:sz w:val="18"/>
                <w:szCs w:val="18"/>
              </w:rPr>
              <w:t>включва две част.</w:t>
            </w:r>
          </w:p>
          <w:p w14:paraId="1B5AEC8E" w14:textId="3FC825DB" w:rsidR="00567838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първата част се 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анализира същността на 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функцията „управление на човешките ресурси” като </w:t>
            </w:r>
            <w:r w:rsidR="007442DB" w:rsidRPr="007442DB">
              <w:rPr>
                <w:rFonts w:ascii="Arial" w:hAnsi="Arial" w:cs="Arial"/>
                <w:bCs/>
                <w:iCs/>
                <w:sz w:val="18"/>
                <w:szCs w:val="18"/>
              </w:rPr>
              <w:t>процес на постигане на целите на организацията чрез привличане, подбор, задържане, освобождаване от работа, развитие и целесъобразно използване на човешките ресурси в организацията.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 Отговорности на мениджъра по отношение на правилното планиране на потребностите от персонал. Подходи за привличане на кандидати за незаетите работни места. Интервюто като процес за набиране на персонал – цели, ограничения, подходи за повишаване на валидността и надеждността на интервюто. Оценка на интервюто. </w:t>
            </w:r>
          </w:p>
          <w:p w14:paraId="312EA824" w14:textId="77777777" w:rsidR="00567838" w:rsidRDefault="00567838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3318AE" w14:textId="546D1AD4" w:rsidR="008D5129" w:rsidRPr="00C13D3E" w:rsidRDefault="002F6823" w:rsidP="007C6DE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Втората част на лекцията обхваща о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сновни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дейности по управлението на човешките ресурси след подбора на персонала</w:t>
            </w:r>
            <w:r w:rsidR="007C6DE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Индоктриниране: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въвеждане в длъжност, ориентация, социализация</w:t>
            </w:r>
            <w:r w:rsidR="00D457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45784" w:rsidRPr="007442DB">
              <w:rPr>
                <w:rFonts w:ascii="Arial" w:hAnsi="Arial" w:cs="Arial"/>
                <w:sz w:val="18"/>
                <w:szCs w:val="18"/>
              </w:rPr>
              <w:t>на новоприетите работници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развитие и обучение на персонала, </w:t>
            </w:r>
            <w:r w:rsidR="007C6DE7">
              <w:rPr>
                <w:rFonts w:ascii="Arial" w:hAnsi="Arial" w:cs="Arial"/>
                <w:sz w:val="18"/>
                <w:szCs w:val="18"/>
              </w:rPr>
              <w:t>р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азработване на програми за обучение на персонала</w:t>
            </w:r>
            <w:r w:rsidR="007C6DE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делегиране, планиране на работата на персонала.</w:t>
            </w:r>
          </w:p>
          <w:p w14:paraId="154BB038" w14:textId="77777777" w:rsidR="007442DB" w:rsidRPr="007442DB" w:rsidRDefault="007442DB" w:rsidP="00E214EA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4965BA" w14:textId="6F2DFAAE" w:rsidR="00D45784" w:rsidRDefault="00731B10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лекция №</w:t>
            </w:r>
            <w:r w:rsidR="002E6F58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...</w:t>
            </w:r>
            <w:r w:rsidR="00073663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–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1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>.pptx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E2B8C10" w14:textId="51F6C784" w:rsidR="00D45784" w:rsidRDefault="00D45784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№ 1...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част 2 …</w:t>
            </w:r>
            <w:r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1 -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2</w:t>
            </w:r>
            <w:r w:rsidRPr="007442DB">
              <w:rPr>
                <w:rFonts w:ascii="Arial" w:hAnsi="Arial" w:cs="Arial"/>
                <w:sz w:val="18"/>
                <w:szCs w:val="18"/>
              </w:rPr>
              <w:t>.pptx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BBAE106" w14:textId="77A91C3F" w:rsidR="00A15E9B" w:rsidRPr="007442DB" w:rsidRDefault="00A15E9B" w:rsidP="00D45784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FC" w:rsidRPr="00923653" w14:paraId="78034E6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358FD89" w14:textId="2A53F23A" w:rsidR="004002FC" w:rsidRPr="008D5129" w:rsidRDefault="007A5CBD" w:rsidP="00A1054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2: </w:t>
            </w:r>
            <w:r w:rsidR="008D5129" w:rsidRPr="008D512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Мотивация на хората в организациите </w:t>
            </w:r>
            <w:r w:rsidR="008D5129"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4002FC" w:rsidRPr="00923653" w14:paraId="356FAC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C484023" w14:textId="71806060" w:rsidR="008D5129" w:rsidRDefault="008D5129" w:rsidP="008D5129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129">
              <w:rPr>
                <w:rFonts w:ascii="Arial" w:hAnsi="Arial" w:cs="Arial"/>
                <w:sz w:val="18"/>
                <w:szCs w:val="18"/>
              </w:rPr>
              <w:t>Определение на основните понятия. Външна и вътрешна мотивация. Мотивационен процес: незадоволена потребност - задоволяване на потребността – целенасочено мотивирано поведение. Обща характеристика на съдържателните и процесуалните теории за мотивацията. В най-общ план е напредставена същността на отделни теории:. теория на Маслоу за йерархията на нуждите; двуфакторна теория на Хърцбърг; теориите Х и У на Дъглас МакГрегър; теорията на очакванията на Вруум и др. Видове наградни програми и стимули: на ниво на организацията, на ниво на групите и на индивидуално ниво.</w:t>
            </w:r>
          </w:p>
          <w:p w14:paraId="64FE43C0" w14:textId="77777777" w:rsidR="008D5129" w:rsidRPr="008D5129" w:rsidRDefault="008D5129" w:rsidP="008D5129">
            <w:pPr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C6E5EE" w14:textId="1E8ECEB1" w:rsidR="004002FC" w:rsidRPr="00981DD7" w:rsidRDefault="00DD47A6" w:rsidP="008D512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A18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51A44D0" wp14:editId="33639F74">
                  <wp:extent cx="114300" cy="114300"/>
                  <wp:effectExtent l="0" t="0" r="0" b="0"/>
                  <wp:docPr id="2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DA184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 2 ...</w:t>
            </w:r>
            <w:r w:rsidR="00073663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2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F6823">
              <w:rPr>
                <w:rFonts w:ascii="Arial" w:hAnsi="Arial" w:cs="Arial"/>
                <w:sz w:val="18"/>
                <w:szCs w:val="18"/>
              </w:rPr>
              <w:t>Мотивация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D76762" w:rsidRPr="00923653" w14:paraId="7B4848A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2C6C6D" w14:textId="798EAF10" w:rsidR="00D76762" w:rsidRPr="009A0CE2" w:rsidRDefault="005479F4" w:rsidP="00C13D3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</w:t>
            </w:r>
            <w:r w:rsidR="002E6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3: 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Управление на работните групи</w:t>
            </w:r>
            <w:r w:rsidR="002C5AF8" w:rsidRPr="002C5A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D76762" w:rsidRPr="00923653" w14:paraId="48F8B3D9" w14:textId="77777777" w:rsidTr="002E6F58">
        <w:trPr>
          <w:trHeight w:val="1631"/>
          <w:jc w:val="center"/>
        </w:trPr>
        <w:tc>
          <w:tcPr>
            <w:tcW w:w="10188" w:type="dxa"/>
            <w:shd w:val="clear" w:color="auto" w:fill="auto"/>
          </w:tcPr>
          <w:p w14:paraId="73DCCDF9" w14:textId="7B8F1531" w:rsidR="002C5AF8" w:rsidRDefault="002C5AF8" w:rsidP="007C6D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AF8">
              <w:rPr>
                <w:rFonts w:ascii="Arial" w:hAnsi="Arial" w:cs="Arial"/>
                <w:sz w:val="18"/>
                <w:szCs w:val="18"/>
              </w:rPr>
              <w:lastRenderedPageBreak/>
              <w:t>Определение на основните понятия. Видове работни групи. Разлика между работна група и екип. Основни елементи на груповия процес. Основни характеристики на групите. Фази в развитието на групите и екипите: фаза на формиране; фаза на бурята (фаза на независимост); фаза на нормиране (фаза на взаимозависимост); фаза на извършване на дейностите; терминална фаза. Роли на членовете на групата: роли, свързани с изпълнението на задачите; с изграждането и поддържането на групата и индивидуални роли</w:t>
            </w:r>
            <w:r>
              <w:rPr>
                <w:rFonts w:ascii="Arial" w:hAnsi="Arial" w:cs="Arial"/>
                <w:sz w:val="18"/>
                <w:szCs w:val="18"/>
              </w:rPr>
              <w:t>, П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рилагането на социометрията в управлението на малките групи.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Работни групи и екипи.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Разгледани са съвременните концепции за екипната работа, екипните роли и факторите за екипната ефективност.</w:t>
            </w:r>
          </w:p>
          <w:p w14:paraId="482E238A" w14:textId="5426DA82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Втората част на тази лекция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е посветена на управлението на конфликтите като важен елемент в управлението на човешките ресурси. Разглеждат се източниците на конфликти в дейността на здравните организации и моделите и стратегиите за разрешаване на конфликти. Представят се специфични умения и съвети към мениджърите 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предотвратяване на конфликти</w:t>
            </w:r>
            <w:r>
              <w:rPr>
                <w:rFonts w:ascii="Helvetica" w:hAnsi="Helvetica"/>
                <w:color w:val="000000"/>
                <w:sz w:val="27"/>
                <w:szCs w:val="27"/>
              </w:rPr>
              <w:t>.</w:t>
            </w:r>
          </w:p>
          <w:p w14:paraId="11F2AAB2" w14:textId="77777777"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1949798A" w14:textId="19B5EC4A" w:rsidR="00D76762" w:rsidRDefault="00902570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1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  <w:p w14:paraId="7C6BA728" w14:textId="59248BF3" w:rsidR="007C6DE7" w:rsidRPr="00923653" w:rsidRDefault="007C6DE7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 </w:t>
            </w:r>
            <w:r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2</w:t>
            </w:r>
            <w:r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7E018E" w:rsidRPr="00923653" w14:paraId="2CCD347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81871AA" w14:textId="78D6D6F3" w:rsidR="007E018E" w:rsidRPr="00504513" w:rsidRDefault="0038466D" w:rsidP="0050451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4: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Комуникациите в организациите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(3 ч.).</w:t>
            </w:r>
          </w:p>
        </w:tc>
      </w:tr>
      <w:tr w:rsidR="007E018E" w:rsidRPr="00923653" w14:paraId="79CABD17" w14:textId="77777777" w:rsidTr="002E6F58">
        <w:trPr>
          <w:trHeight w:val="1332"/>
          <w:jc w:val="center"/>
        </w:trPr>
        <w:tc>
          <w:tcPr>
            <w:tcW w:w="10188" w:type="dxa"/>
            <w:shd w:val="clear" w:color="auto" w:fill="auto"/>
          </w:tcPr>
          <w:p w14:paraId="0ED0D414" w14:textId="25B828C0" w:rsidR="005152D1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съдържание на тази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лекция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включва 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ролята на комуникациите в управлението на човешките ресурси. </w:t>
            </w:r>
            <w:r w:rsidRPr="002C5A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Определение и видове комуникации. Основни елементи на процеса на комуникации. Вербална и невербална комуникация. Видове комуникации в организациите: възходяща, низходяща, паралелна, диагонална. Междуличностни комуникации. Информационни сфери в процеса на комуникациите. Видове разговори, работни срещи и съвещания – правила на организацията им. Устни и писмени презентации. Компютърни комуникации. Документацията като форма на комуникация.</w:t>
            </w:r>
          </w:p>
          <w:p w14:paraId="51523816" w14:textId="77777777" w:rsidR="002C5AF8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53C575" w14:textId="76D70B07" w:rsidR="009A0CE2" w:rsidRPr="00504513" w:rsidRDefault="00DD47A6" w:rsidP="002E6F5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6A77E0E" wp14:editId="7EBBC612">
                  <wp:extent cx="114300" cy="114300"/>
                  <wp:effectExtent l="0" t="0" r="0" b="0"/>
                  <wp:docPr id="32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</w:t>
            </w:r>
            <w:r w:rsidR="00416779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 xml:space="preserve">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4 ...</w:t>
            </w:r>
            <w:r w:rsidR="00073663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4 - Комуникации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0730CE" w:rsidRPr="00923653" w14:paraId="335A1C47" w14:textId="7777777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645" w14:textId="73F420F9" w:rsidR="000730CE" w:rsidRPr="002C5AF8" w:rsidRDefault="002C5AF8" w:rsidP="000730CE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5: Оценка на дейността на персонала</w:t>
            </w:r>
            <w:r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567838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0730CE" w:rsidRPr="00923653" w14:paraId="3C5FFE3F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532" w14:textId="08592F81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тази лекция се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разглежда същността на процеса на оценяване на персонала като заключителна фаза в управлението на човешките ресурси.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sz w:val="18"/>
                <w:szCs w:val="18"/>
              </w:rPr>
              <w:t xml:space="preserve">Значение и цели на оценяването на дейността на персонала. Правни аспекти на оценяването. Подготовка на система за оценка на дейността на персонала. Оценката като комуникационен процес – възможни грешки и ограничения. Предимства на системата ПОЛИКАП при прилагането й в системата на здравеопазване.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>Представени са критериите за добра оценъчна система на примера на системата ПОЛИКАП с нейните предимства за оценяващите и оценяваните лица.</w:t>
            </w:r>
          </w:p>
          <w:p w14:paraId="5656E453" w14:textId="5E84D4BC" w:rsidR="007C6DE7" w:rsidRDefault="007C6DE7" w:rsidP="007C6DE7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5... </w:t>
            </w:r>
            <w:r w:rsidRPr="00926642">
              <w:rPr>
                <w:rFonts w:ascii="Arial" w:hAnsi="Arial" w:cs="Arial"/>
                <w:sz w:val="18"/>
                <w:szCs w:val="18"/>
              </w:rPr>
              <w:t>(Файл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5 – Оценка на персонала</w:t>
            </w:r>
            <w:r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  <w:p w14:paraId="2BC2417B" w14:textId="77777777" w:rsidR="007C6DE7" w:rsidRPr="002C5AF8" w:rsidRDefault="007C6DE7" w:rsidP="002C5AF8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BDC51" w14:textId="77777777" w:rsidR="000730CE" w:rsidRPr="002C5AF8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A4A7D3" w14:textId="77777777" w:rsidR="000649FF" w:rsidRPr="00923653" w:rsidRDefault="000649FF">
      <w:pPr>
        <w:rPr>
          <w:rFonts w:ascii="Arial" w:hAnsi="Arial" w:cs="Arial"/>
          <w:sz w:val="18"/>
          <w:szCs w:val="18"/>
        </w:rPr>
      </w:pPr>
    </w:p>
    <w:p w14:paraId="2BC71555" w14:textId="77777777"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14:paraId="55BFAB7A" w14:textId="1122D715" w:rsidR="007E4FB5" w:rsidRDefault="008E4975" w:rsidP="00520E67">
      <w:pPr>
        <w:rPr>
          <w:sz w:val="22"/>
          <w:szCs w:val="22"/>
        </w:rPr>
      </w:pPr>
      <w:r w:rsidRPr="00923653">
        <w:rPr>
          <w:b/>
          <w:i/>
        </w:rPr>
        <w:tab/>
      </w:r>
    </w:p>
    <w:p w14:paraId="36455719" w14:textId="77777777" w:rsidR="008C5503" w:rsidRDefault="008C5503" w:rsidP="008C5503">
      <w:pPr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14:paraId="1D2B2563" w14:textId="77777777" w:rsidR="008C5503" w:rsidRDefault="008C5503" w:rsidP="008C55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64"/>
      </w:tblGrid>
      <w:tr w:rsidR="008C5503" w:rsidRPr="00680F32" w14:paraId="0444D7E0" w14:textId="77777777" w:rsidTr="0087187D">
        <w:tc>
          <w:tcPr>
            <w:tcW w:w="5243" w:type="dxa"/>
            <w:shd w:val="clear" w:color="auto" w:fill="auto"/>
          </w:tcPr>
          <w:p w14:paraId="1B460F7F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69CD4E61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8C5503" w:rsidRPr="00680F32" w14:paraId="631D3C53" w14:textId="77777777" w:rsidTr="0087187D">
        <w:tc>
          <w:tcPr>
            <w:tcW w:w="5243" w:type="dxa"/>
            <w:shd w:val="clear" w:color="auto" w:fill="auto"/>
          </w:tcPr>
          <w:p w14:paraId="601A70C8" w14:textId="2DD6A20B" w:rsidR="008C5503" w:rsidRPr="003D0D39" w:rsidRDefault="00134E0D" w:rsidP="0087187D">
            <w:r>
              <w:t xml:space="preserve">Над </w:t>
            </w:r>
            <w:r w:rsidR="008C5503" w:rsidRPr="003D0D39">
              <w:t>9</w:t>
            </w:r>
            <w:r w:rsidR="008C5503">
              <w:t>3</w:t>
            </w:r>
            <w:r>
              <w:t xml:space="preserve"> %</w:t>
            </w:r>
            <w:r w:rsidR="008C5503" w:rsidRPr="003D0D39">
              <w:t xml:space="preserve"> – 100 %</w:t>
            </w:r>
          </w:p>
        </w:tc>
        <w:tc>
          <w:tcPr>
            <w:tcW w:w="5244" w:type="dxa"/>
            <w:shd w:val="clear" w:color="auto" w:fill="auto"/>
          </w:tcPr>
          <w:p w14:paraId="7165A2A3" w14:textId="77777777" w:rsidR="008C5503" w:rsidRPr="003D0D39" w:rsidRDefault="008C5503" w:rsidP="0087187D">
            <w:r w:rsidRPr="003D0D39">
              <w:t>6.00</w:t>
            </w:r>
          </w:p>
        </w:tc>
      </w:tr>
      <w:tr w:rsidR="008C5503" w:rsidRPr="00680F32" w14:paraId="67A12ACF" w14:textId="77777777" w:rsidTr="0087187D">
        <w:tc>
          <w:tcPr>
            <w:tcW w:w="5243" w:type="dxa"/>
            <w:shd w:val="clear" w:color="auto" w:fill="auto"/>
          </w:tcPr>
          <w:p w14:paraId="25AFE670" w14:textId="1E1338B8" w:rsidR="008C5503" w:rsidRPr="003D0D39" w:rsidRDefault="008C5503" w:rsidP="0087187D">
            <w:r>
              <w:t>93</w:t>
            </w:r>
            <w:r w:rsidR="00134E0D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828285B" w14:textId="0EA42BA6" w:rsidR="008C5503" w:rsidRPr="003D0D39" w:rsidRDefault="008C5503" w:rsidP="0087187D">
            <w:r>
              <w:t>5.50</w:t>
            </w:r>
          </w:p>
        </w:tc>
      </w:tr>
      <w:tr w:rsidR="008C5503" w:rsidRPr="00680F32" w14:paraId="0CE444B9" w14:textId="77777777" w:rsidTr="0087187D">
        <w:tc>
          <w:tcPr>
            <w:tcW w:w="5243" w:type="dxa"/>
            <w:shd w:val="clear" w:color="auto" w:fill="auto"/>
          </w:tcPr>
          <w:p w14:paraId="73A038C1" w14:textId="53D44AEE" w:rsidR="008C5503" w:rsidRPr="003D0D39" w:rsidRDefault="008C5503" w:rsidP="0087187D">
            <w:r w:rsidRPr="003D0D39">
              <w:t>8</w:t>
            </w:r>
            <w:r>
              <w:t>6</w:t>
            </w:r>
            <w:r w:rsidR="00134E0D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64AE46F0" w14:textId="77777777" w:rsidR="008C5503" w:rsidRPr="003D0D39" w:rsidRDefault="008C5503" w:rsidP="0087187D">
            <w:r w:rsidRPr="003D0D39">
              <w:t>5.00</w:t>
            </w:r>
          </w:p>
        </w:tc>
      </w:tr>
      <w:tr w:rsidR="008C5503" w:rsidRPr="00680F32" w14:paraId="617AA4AB" w14:textId="77777777" w:rsidTr="0087187D">
        <w:tc>
          <w:tcPr>
            <w:tcW w:w="5243" w:type="dxa"/>
            <w:shd w:val="clear" w:color="auto" w:fill="auto"/>
          </w:tcPr>
          <w:p w14:paraId="7E8E8AB0" w14:textId="59DAC9DB" w:rsidR="008C5503" w:rsidRPr="003D0D39" w:rsidRDefault="00134E0D" w:rsidP="0087187D">
            <w:r>
              <w:t>80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3D6B892F" w14:textId="5A8BB6A8" w:rsidR="008C5503" w:rsidRPr="003D0D39" w:rsidRDefault="00134E0D" w:rsidP="0087187D">
            <w:r>
              <w:t>4.50</w:t>
            </w:r>
          </w:p>
        </w:tc>
      </w:tr>
      <w:tr w:rsidR="008C5503" w:rsidRPr="00680F32" w14:paraId="294CBE26" w14:textId="77777777" w:rsidTr="0087187D">
        <w:tc>
          <w:tcPr>
            <w:tcW w:w="5243" w:type="dxa"/>
            <w:shd w:val="clear" w:color="auto" w:fill="auto"/>
          </w:tcPr>
          <w:p w14:paraId="2C2D3763" w14:textId="397EC2D5" w:rsidR="008C5503" w:rsidRPr="003D0D39" w:rsidRDefault="008C5503" w:rsidP="0087187D">
            <w:r w:rsidRPr="003D0D39">
              <w:t>7</w:t>
            </w:r>
            <w:r w:rsidR="00134E0D">
              <w:t>3</w:t>
            </w:r>
            <w:r w:rsidR="008726F0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5DB2A40F" w14:textId="77777777" w:rsidR="008C5503" w:rsidRPr="003D0D39" w:rsidRDefault="008C5503" w:rsidP="0087187D">
            <w:r w:rsidRPr="003D0D39">
              <w:t>4.00</w:t>
            </w:r>
          </w:p>
        </w:tc>
      </w:tr>
      <w:tr w:rsidR="008C5503" w:rsidRPr="00680F32" w14:paraId="4BC8CF30" w14:textId="77777777" w:rsidTr="0087187D">
        <w:tc>
          <w:tcPr>
            <w:tcW w:w="5243" w:type="dxa"/>
            <w:shd w:val="clear" w:color="auto" w:fill="auto"/>
          </w:tcPr>
          <w:p w14:paraId="2F516EFA" w14:textId="462DBC64" w:rsidR="008C5503" w:rsidRPr="003D0D39" w:rsidRDefault="00134E0D" w:rsidP="0087187D">
            <w:r>
              <w:t>66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21B48E8" w14:textId="49CA1046" w:rsidR="008C5503" w:rsidRPr="003D0D39" w:rsidRDefault="00134E0D" w:rsidP="0087187D">
            <w:r>
              <w:t>3.50</w:t>
            </w:r>
          </w:p>
        </w:tc>
      </w:tr>
      <w:tr w:rsidR="008C5503" w:rsidRPr="00680F32" w14:paraId="3E1EEBAB" w14:textId="77777777" w:rsidTr="0087187D">
        <w:tc>
          <w:tcPr>
            <w:tcW w:w="5243" w:type="dxa"/>
            <w:shd w:val="clear" w:color="auto" w:fill="auto"/>
          </w:tcPr>
          <w:p w14:paraId="00278476" w14:textId="1A28F47A" w:rsidR="008C5503" w:rsidRPr="003D0D39" w:rsidRDefault="00134E0D" w:rsidP="0087187D">
            <w:r>
              <w:t>60</w:t>
            </w:r>
            <w:r w:rsidR="008726F0">
              <w:t xml:space="preserve"> </w:t>
            </w:r>
            <w:r w:rsidR="008C5503"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07114F61" w14:textId="77777777" w:rsidR="008C5503" w:rsidRPr="003D0D39" w:rsidRDefault="008C5503" w:rsidP="0087187D">
            <w:r w:rsidRPr="003D0D39">
              <w:t>3.00</w:t>
            </w:r>
          </w:p>
        </w:tc>
      </w:tr>
      <w:tr w:rsidR="008C5503" w:rsidRPr="00680F32" w14:paraId="54D0810B" w14:textId="77777777" w:rsidTr="0087187D">
        <w:tc>
          <w:tcPr>
            <w:tcW w:w="5243" w:type="dxa"/>
            <w:shd w:val="clear" w:color="auto" w:fill="auto"/>
          </w:tcPr>
          <w:p w14:paraId="4343E683" w14:textId="2E734D04" w:rsidR="008C5503" w:rsidRPr="003D0D39" w:rsidRDefault="008C5503" w:rsidP="0087187D">
            <w:r w:rsidRPr="003D0D39">
              <w:t xml:space="preserve">0 – </w:t>
            </w:r>
            <w:r w:rsidR="00134E0D">
              <w:t xml:space="preserve">59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1EEF139F" w14:textId="77777777" w:rsidR="008C5503" w:rsidRPr="003D0D39" w:rsidRDefault="008C5503" w:rsidP="0087187D">
            <w:r w:rsidRPr="003D0D39">
              <w:t>2.00</w:t>
            </w:r>
          </w:p>
        </w:tc>
      </w:tr>
    </w:tbl>
    <w:p w14:paraId="3522486E" w14:textId="77777777" w:rsidR="007E4FB5" w:rsidRDefault="007E4FB5" w:rsidP="00F70B2B">
      <w:pPr>
        <w:jc w:val="both"/>
        <w:rPr>
          <w:sz w:val="22"/>
          <w:szCs w:val="22"/>
        </w:rPr>
      </w:pPr>
    </w:p>
    <w:p w14:paraId="6D4D976A" w14:textId="77777777" w:rsidR="000E2108" w:rsidRPr="000E2108" w:rsidRDefault="000E2108" w:rsidP="007E4FB5">
      <w:pPr>
        <w:rPr>
          <w:bCs/>
          <w:iCs/>
        </w:rPr>
      </w:pPr>
    </w:p>
    <w:p w14:paraId="59FD9E93" w14:textId="77777777" w:rsidR="000E2108" w:rsidRDefault="000E2108" w:rsidP="007E4FB5">
      <w:pPr>
        <w:rPr>
          <w:b/>
          <w:i/>
        </w:rPr>
      </w:pPr>
    </w:p>
    <w:p w14:paraId="10EF63A5" w14:textId="77777777" w:rsidR="007E4FB5" w:rsidRDefault="007E4FB5" w:rsidP="007E4FB5">
      <w:pPr>
        <w:rPr>
          <w:b/>
          <w:i/>
        </w:rPr>
      </w:pPr>
    </w:p>
    <w:p w14:paraId="3086F743" w14:textId="40999514" w:rsidR="003D0D39" w:rsidRDefault="003D0D39" w:rsidP="00FC5890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14:paraId="44C890F1" w14:textId="77777777" w:rsidR="007E4FB5" w:rsidRPr="00923653" w:rsidRDefault="007E4FB5" w:rsidP="00F70B2B">
      <w:pPr>
        <w:jc w:val="both"/>
        <w:rPr>
          <w:sz w:val="22"/>
          <w:szCs w:val="22"/>
        </w:rPr>
      </w:pPr>
    </w:p>
    <w:sectPr w:rsidR="007E4FB5" w:rsidRPr="00923653" w:rsidSect="003C2D4C"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4E86" w14:textId="77777777" w:rsidR="00750184" w:rsidRDefault="00750184" w:rsidP="004002FC">
      <w:pPr>
        <w:pStyle w:val="NormalWeb"/>
      </w:pPr>
      <w:r>
        <w:separator/>
      </w:r>
    </w:p>
  </w:endnote>
  <w:endnote w:type="continuationSeparator" w:id="0">
    <w:p w14:paraId="64A28BC8" w14:textId="77777777" w:rsidR="00750184" w:rsidRDefault="00750184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AE70" w14:textId="2AA34AEA" w:rsidR="000174AA" w:rsidRDefault="000174AA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21E4D" wp14:editId="310BBECB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F6E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7E48DA3F" w14:textId="77777777" w:rsidR="000174AA" w:rsidRPr="005E112E" w:rsidRDefault="000174AA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BD6E" w14:textId="3E353081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15F3F" wp14:editId="44BA6804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E2530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4DE602C5" w14:textId="77777777" w:rsidR="000174AA" w:rsidRPr="005E112E" w:rsidRDefault="000174AA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D152" w14:textId="2AB1B00B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33DC9" wp14:editId="151A3D63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343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062103AB" w14:textId="77777777" w:rsidR="000174AA" w:rsidRDefault="000174AA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B967889" w14:textId="77777777" w:rsidR="000174AA" w:rsidRPr="005E112E" w:rsidRDefault="000174AA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3D38" w14:textId="77777777" w:rsidR="00750184" w:rsidRDefault="00750184" w:rsidP="004002FC">
      <w:pPr>
        <w:pStyle w:val="NormalWeb"/>
      </w:pPr>
      <w:r>
        <w:separator/>
      </w:r>
    </w:p>
  </w:footnote>
  <w:footnote w:type="continuationSeparator" w:id="0">
    <w:p w14:paraId="232D8911" w14:textId="77777777" w:rsidR="00750184" w:rsidRDefault="00750184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0174AA" w14:paraId="587EF859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D0DE109" w14:textId="77777777" w:rsidR="000174AA" w:rsidRDefault="00750184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52F9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752681" r:id="rId2"/>
            </w:object>
          </w:r>
          <w:r w:rsidR="000174AA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4AA" w14:paraId="1BE93ED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A0A659F" w14:textId="77777777" w:rsidR="000174AA" w:rsidRDefault="000174AA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174AA" w14:paraId="7D2E242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E1C4273" w14:textId="77777777" w:rsidR="000174AA" w:rsidRDefault="000174AA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14:paraId="6E2D8EA2" w14:textId="77777777" w:rsidR="000174AA" w:rsidRDefault="000174AA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pt;height:8.7pt;visibility:visible;mso-wrap-style:square" o:bullet="t">
        <v:imagedata r:id="rId1" o:title=""/>
      </v:shape>
    </w:pict>
  </w:numPicBullet>
  <w:numPicBullet w:numPicBulletId="1">
    <w:pict>
      <v:shape id="_x0000_i1031" type="#_x0000_t75" style="width:8.35pt;height:8.35pt;visibility:visible;mso-wrap-style:square" o:bullet="t">
        <v:imagedata r:id="rId2" o:title="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A1F60"/>
    <w:multiLevelType w:val="hybridMultilevel"/>
    <w:tmpl w:val="96F0FFBA"/>
    <w:lvl w:ilvl="0" w:tplc="08FC2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4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A6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21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D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6B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D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B166D2"/>
    <w:multiLevelType w:val="hybridMultilevel"/>
    <w:tmpl w:val="84508638"/>
    <w:lvl w:ilvl="0" w:tplc="A6A0E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62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04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4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62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D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8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A3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294D"/>
    <w:multiLevelType w:val="hybridMultilevel"/>
    <w:tmpl w:val="2526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32C83"/>
    <w:multiLevelType w:val="hybridMultilevel"/>
    <w:tmpl w:val="D7D2563C"/>
    <w:lvl w:ilvl="0" w:tplc="C8A85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B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BD31FD"/>
    <w:multiLevelType w:val="hybridMultilevel"/>
    <w:tmpl w:val="E40C2E16"/>
    <w:lvl w:ilvl="0" w:tplc="4EE2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4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C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D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2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06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F8B00F1"/>
    <w:multiLevelType w:val="hybridMultilevel"/>
    <w:tmpl w:val="B3D47C4C"/>
    <w:lvl w:ilvl="0" w:tplc="E5186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E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A0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8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63D55"/>
    <w:multiLevelType w:val="multilevel"/>
    <w:tmpl w:val="608EB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6804AF"/>
    <w:multiLevelType w:val="hybridMultilevel"/>
    <w:tmpl w:val="A63CB80E"/>
    <w:lvl w:ilvl="0" w:tplc="A38CB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0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F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4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A33"/>
    <w:multiLevelType w:val="multilevel"/>
    <w:tmpl w:val="1EEA7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20"/>
  </w:num>
  <w:num w:numId="17">
    <w:abstractNumId w:val="12"/>
  </w:num>
  <w:num w:numId="18">
    <w:abstractNumId w:val="5"/>
  </w:num>
  <w:num w:numId="19">
    <w:abstractNumId w:val="26"/>
  </w:num>
  <w:num w:numId="20">
    <w:abstractNumId w:val="9"/>
  </w:num>
  <w:num w:numId="21">
    <w:abstractNumId w:val="10"/>
  </w:num>
  <w:num w:numId="22">
    <w:abstractNumId w:val="13"/>
  </w:num>
  <w:num w:numId="23">
    <w:abstractNumId w:val="24"/>
  </w:num>
  <w:num w:numId="24">
    <w:abstractNumId w:val="8"/>
  </w:num>
  <w:num w:numId="25">
    <w:abstractNumId w:val="2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2AC1"/>
    <w:rsid w:val="000174AA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B60B7"/>
    <w:rsid w:val="000C6454"/>
    <w:rsid w:val="000E019D"/>
    <w:rsid w:val="000E2108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34E0D"/>
    <w:rsid w:val="0014789D"/>
    <w:rsid w:val="001516D0"/>
    <w:rsid w:val="00153475"/>
    <w:rsid w:val="00153E17"/>
    <w:rsid w:val="00164C5F"/>
    <w:rsid w:val="001655D6"/>
    <w:rsid w:val="00180EA9"/>
    <w:rsid w:val="001810B0"/>
    <w:rsid w:val="00183F0F"/>
    <w:rsid w:val="00187C0B"/>
    <w:rsid w:val="001918E2"/>
    <w:rsid w:val="001A7A5D"/>
    <w:rsid w:val="001B734F"/>
    <w:rsid w:val="001C40FF"/>
    <w:rsid w:val="001C6603"/>
    <w:rsid w:val="001D1296"/>
    <w:rsid w:val="001E30A3"/>
    <w:rsid w:val="001F6582"/>
    <w:rsid w:val="001F7BAC"/>
    <w:rsid w:val="0020197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A6E8E"/>
    <w:rsid w:val="002B6CFE"/>
    <w:rsid w:val="002C50E5"/>
    <w:rsid w:val="002C5AF8"/>
    <w:rsid w:val="002E4567"/>
    <w:rsid w:val="002E61B2"/>
    <w:rsid w:val="002E6C8F"/>
    <w:rsid w:val="002E6F58"/>
    <w:rsid w:val="002F3F35"/>
    <w:rsid w:val="002F5C32"/>
    <w:rsid w:val="002F6823"/>
    <w:rsid w:val="00302ADC"/>
    <w:rsid w:val="003105FC"/>
    <w:rsid w:val="00315470"/>
    <w:rsid w:val="003201A6"/>
    <w:rsid w:val="00321094"/>
    <w:rsid w:val="0032123E"/>
    <w:rsid w:val="003218DF"/>
    <w:rsid w:val="00323238"/>
    <w:rsid w:val="00325C3A"/>
    <w:rsid w:val="00326CF2"/>
    <w:rsid w:val="00330EC7"/>
    <w:rsid w:val="003327A6"/>
    <w:rsid w:val="00332A43"/>
    <w:rsid w:val="00341CC0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11A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D3E91"/>
    <w:rsid w:val="003E2E67"/>
    <w:rsid w:val="003E606B"/>
    <w:rsid w:val="003F00C4"/>
    <w:rsid w:val="003F4C43"/>
    <w:rsid w:val="003F527E"/>
    <w:rsid w:val="003F53FC"/>
    <w:rsid w:val="004002FC"/>
    <w:rsid w:val="00401F19"/>
    <w:rsid w:val="00404FD3"/>
    <w:rsid w:val="00411959"/>
    <w:rsid w:val="00413802"/>
    <w:rsid w:val="00416779"/>
    <w:rsid w:val="00425427"/>
    <w:rsid w:val="00432689"/>
    <w:rsid w:val="00434B23"/>
    <w:rsid w:val="00437E4D"/>
    <w:rsid w:val="0044147B"/>
    <w:rsid w:val="00460C10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4F501C"/>
    <w:rsid w:val="00503F83"/>
    <w:rsid w:val="00504513"/>
    <w:rsid w:val="00507472"/>
    <w:rsid w:val="005152D1"/>
    <w:rsid w:val="005204B5"/>
    <w:rsid w:val="00520E67"/>
    <w:rsid w:val="00525E62"/>
    <w:rsid w:val="00527263"/>
    <w:rsid w:val="00532B6B"/>
    <w:rsid w:val="00534BE9"/>
    <w:rsid w:val="005433EA"/>
    <w:rsid w:val="0054585D"/>
    <w:rsid w:val="00545B15"/>
    <w:rsid w:val="005479F4"/>
    <w:rsid w:val="00550412"/>
    <w:rsid w:val="0055591D"/>
    <w:rsid w:val="00556E6B"/>
    <w:rsid w:val="00561D53"/>
    <w:rsid w:val="00567838"/>
    <w:rsid w:val="00574399"/>
    <w:rsid w:val="00581266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420"/>
    <w:rsid w:val="00646D81"/>
    <w:rsid w:val="006623A0"/>
    <w:rsid w:val="00662F39"/>
    <w:rsid w:val="00664452"/>
    <w:rsid w:val="00666E77"/>
    <w:rsid w:val="00675835"/>
    <w:rsid w:val="00680F32"/>
    <w:rsid w:val="006833AF"/>
    <w:rsid w:val="006852F0"/>
    <w:rsid w:val="00685F4F"/>
    <w:rsid w:val="00685F89"/>
    <w:rsid w:val="006908AA"/>
    <w:rsid w:val="006920A0"/>
    <w:rsid w:val="006A218D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0701"/>
    <w:rsid w:val="00731B10"/>
    <w:rsid w:val="00732CEA"/>
    <w:rsid w:val="007442DB"/>
    <w:rsid w:val="00744FE5"/>
    <w:rsid w:val="00745DBA"/>
    <w:rsid w:val="0074646F"/>
    <w:rsid w:val="00750184"/>
    <w:rsid w:val="0076008E"/>
    <w:rsid w:val="00760865"/>
    <w:rsid w:val="0076412F"/>
    <w:rsid w:val="00770EB4"/>
    <w:rsid w:val="0077721F"/>
    <w:rsid w:val="00780AB7"/>
    <w:rsid w:val="00791E54"/>
    <w:rsid w:val="00793D41"/>
    <w:rsid w:val="00794DA1"/>
    <w:rsid w:val="007972B9"/>
    <w:rsid w:val="007A07D4"/>
    <w:rsid w:val="007A2E4B"/>
    <w:rsid w:val="007A5CBD"/>
    <w:rsid w:val="007A7171"/>
    <w:rsid w:val="007B1FD4"/>
    <w:rsid w:val="007B2235"/>
    <w:rsid w:val="007B30A6"/>
    <w:rsid w:val="007B3494"/>
    <w:rsid w:val="007B7FB0"/>
    <w:rsid w:val="007C20A3"/>
    <w:rsid w:val="007C3E2A"/>
    <w:rsid w:val="007C6DE7"/>
    <w:rsid w:val="007D5A4C"/>
    <w:rsid w:val="007D7871"/>
    <w:rsid w:val="007E018E"/>
    <w:rsid w:val="007E4FB5"/>
    <w:rsid w:val="007E71FD"/>
    <w:rsid w:val="008063C4"/>
    <w:rsid w:val="00807029"/>
    <w:rsid w:val="0081708F"/>
    <w:rsid w:val="008220ED"/>
    <w:rsid w:val="00830690"/>
    <w:rsid w:val="008426AC"/>
    <w:rsid w:val="008442A7"/>
    <w:rsid w:val="00844E3D"/>
    <w:rsid w:val="00844FC2"/>
    <w:rsid w:val="00854E9A"/>
    <w:rsid w:val="008661BD"/>
    <w:rsid w:val="008704C6"/>
    <w:rsid w:val="008726F0"/>
    <w:rsid w:val="00874663"/>
    <w:rsid w:val="00890D04"/>
    <w:rsid w:val="00894ACF"/>
    <w:rsid w:val="008972AC"/>
    <w:rsid w:val="008A0265"/>
    <w:rsid w:val="008B0F40"/>
    <w:rsid w:val="008B53C1"/>
    <w:rsid w:val="008C5503"/>
    <w:rsid w:val="008D4901"/>
    <w:rsid w:val="008D5129"/>
    <w:rsid w:val="008E4975"/>
    <w:rsid w:val="00901F7E"/>
    <w:rsid w:val="00902570"/>
    <w:rsid w:val="00912444"/>
    <w:rsid w:val="00922643"/>
    <w:rsid w:val="00923653"/>
    <w:rsid w:val="009238A5"/>
    <w:rsid w:val="00925212"/>
    <w:rsid w:val="00926642"/>
    <w:rsid w:val="00937FEB"/>
    <w:rsid w:val="00940B98"/>
    <w:rsid w:val="00944A29"/>
    <w:rsid w:val="009526D9"/>
    <w:rsid w:val="009534E7"/>
    <w:rsid w:val="00962BA2"/>
    <w:rsid w:val="00981AC9"/>
    <w:rsid w:val="00981DD7"/>
    <w:rsid w:val="00983346"/>
    <w:rsid w:val="00984480"/>
    <w:rsid w:val="009862DB"/>
    <w:rsid w:val="009865D8"/>
    <w:rsid w:val="0099093E"/>
    <w:rsid w:val="009945C2"/>
    <w:rsid w:val="0099691A"/>
    <w:rsid w:val="009A0CE2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54B"/>
    <w:rsid w:val="00A10AC5"/>
    <w:rsid w:val="00A15E9B"/>
    <w:rsid w:val="00A22EBC"/>
    <w:rsid w:val="00A2401C"/>
    <w:rsid w:val="00A323FB"/>
    <w:rsid w:val="00A347E4"/>
    <w:rsid w:val="00A3510B"/>
    <w:rsid w:val="00A45F5D"/>
    <w:rsid w:val="00A5065E"/>
    <w:rsid w:val="00A546CA"/>
    <w:rsid w:val="00A6020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E634E"/>
    <w:rsid w:val="00AF53DD"/>
    <w:rsid w:val="00B03DD4"/>
    <w:rsid w:val="00B05446"/>
    <w:rsid w:val="00B05F0E"/>
    <w:rsid w:val="00B13B2C"/>
    <w:rsid w:val="00B14D18"/>
    <w:rsid w:val="00B17BDF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3322"/>
    <w:rsid w:val="00B54BF9"/>
    <w:rsid w:val="00B55F4B"/>
    <w:rsid w:val="00B61465"/>
    <w:rsid w:val="00B6735D"/>
    <w:rsid w:val="00B675A9"/>
    <w:rsid w:val="00BA5319"/>
    <w:rsid w:val="00BB3550"/>
    <w:rsid w:val="00BB4129"/>
    <w:rsid w:val="00BC0AA2"/>
    <w:rsid w:val="00BC0D32"/>
    <w:rsid w:val="00BC271A"/>
    <w:rsid w:val="00BC58E9"/>
    <w:rsid w:val="00BC5AF2"/>
    <w:rsid w:val="00BD09BD"/>
    <w:rsid w:val="00BD2E01"/>
    <w:rsid w:val="00BE4D08"/>
    <w:rsid w:val="00C026D3"/>
    <w:rsid w:val="00C03F35"/>
    <w:rsid w:val="00C06E1C"/>
    <w:rsid w:val="00C11BF8"/>
    <w:rsid w:val="00C13D3E"/>
    <w:rsid w:val="00C15543"/>
    <w:rsid w:val="00C21A39"/>
    <w:rsid w:val="00C25A4F"/>
    <w:rsid w:val="00C61144"/>
    <w:rsid w:val="00C70CD1"/>
    <w:rsid w:val="00C779A0"/>
    <w:rsid w:val="00C9095B"/>
    <w:rsid w:val="00CA19DC"/>
    <w:rsid w:val="00CC55A9"/>
    <w:rsid w:val="00CC7681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46BF"/>
    <w:rsid w:val="00D34A96"/>
    <w:rsid w:val="00D35225"/>
    <w:rsid w:val="00D416F1"/>
    <w:rsid w:val="00D44160"/>
    <w:rsid w:val="00D453F3"/>
    <w:rsid w:val="00D45784"/>
    <w:rsid w:val="00D50642"/>
    <w:rsid w:val="00D50D45"/>
    <w:rsid w:val="00D6017C"/>
    <w:rsid w:val="00D61AB8"/>
    <w:rsid w:val="00D62050"/>
    <w:rsid w:val="00D6482D"/>
    <w:rsid w:val="00D66BDA"/>
    <w:rsid w:val="00D70FF1"/>
    <w:rsid w:val="00D725C8"/>
    <w:rsid w:val="00D725CF"/>
    <w:rsid w:val="00D76762"/>
    <w:rsid w:val="00D82144"/>
    <w:rsid w:val="00D83589"/>
    <w:rsid w:val="00D96CF8"/>
    <w:rsid w:val="00DA1847"/>
    <w:rsid w:val="00DA3EF4"/>
    <w:rsid w:val="00DB132C"/>
    <w:rsid w:val="00DB1FD3"/>
    <w:rsid w:val="00DB3B07"/>
    <w:rsid w:val="00DB6DCE"/>
    <w:rsid w:val="00DC2126"/>
    <w:rsid w:val="00DD1225"/>
    <w:rsid w:val="00DD458E"/>
    <w:rsid w:val="00DD47A6"/>
    <w:rsid w:val="00DD611C"/>
    <w:rsid w:val="00DE1548"/>
    <w:rsid w:val="00DE5D3A"/>
    <w:rsid w:val="00DE7081"/>
    <w:rsid w:val="00DF0D65"/>
    <w:rsid w:val="00DF0E22"/>
    <w:rsid w:val="00DF67BE"/>
    <w:rsid w:val="00E1034B"/>
    <w:rsid w:val="00E178CD"/>
    <w:rsid w:val="00E214EA"/>
    <w:rsid w:val="00E21736"/>
    <w:rsid w:val="00E26F7A"/>
    <w:rsid w:val="00E27A18"/>
    <w:rsid w:val="00E323FB"/>
    <w:rsid w:val="00E33B28"/>
    <w:rsid w:val="00E52BA0"/>
    <w:rsid w:val="00E55AD5"/>
    <w:rsid w:val="00E56565"/>
    <w:rsid w:val="00E83BCE"/>
    <w:rsid w:val="00E850BF"/>
    <w:rsid w:val="00E9339C"/>
    <w:rsid w:val="00E93761"/>
    <w:rsid w:val="00EA018C"/>
    <w:rsid w:val="00EB0B7B"/>
    <w:rsid w:val="00EB15EB"/>
    <w:rsid w:val="00EB3609"/>
    <w:rsid w:val="00EC369D"/>
    <w:rsid w:val="00EC596F"/>
    <w:rsid w:val="00ED2AC1"/>
    <w:rsid w:val="00ED3807"/>
    <w:rsid w:val="00ED4373"/>
    <w:rsid w:val="00EE0DC3"/>
    <w:rsid w:val="00EF1FDC"/>
    <w:rsid w:val="00EF5340"/>
    <w:rsid w:val="00F12F58"/>
    <w:rsid w:val="00F139C7"/>
    <w:rsid w:val="00F17584"/>
    <w:rsid w:val="00F27591"/>
    <w:rsid w:val="00F34F0D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97874"/>
    <w:rsid w:val="00FA366A"/>
    <w:rsid w:val="00FA772B"/>
    <w:rsid w:val="00FB3EF9"/>
    <w:rsid w:val="00FB4F86"/>
    <w:rsid w:val="00FB55E0"/>
    <w:rsid w:val="00FB7364"/>
    <w:rsid w:val="00FB7398"/>
    <w:rsid w:val="00FC1383"/>
    <w:rsid w:val="00FC27EC"/>
    <w:rsid w:val="00FC4968"/>
    <w:rsid w:val="00FC5890"/>
    <w:rsid w:val="00FD2E97"/>
    <w:rsid w:val="00FE2B28"/>
    <w:rsid w:val="00FE3D59"/>
    <w:rsid w:val="00FE5CE6"/>
    <w:rsid w:val="00FF3516"/>
    <w:rsid w:val="00FF4DF9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EB73EFD"/>
  <w15:chartTrackingRefBased/>
  <w15:docId w15:val="{DD908C7D-7C38-4B59-9AEC-5F1646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8B0F4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7B3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494"/>
    <w:rPr>
      <w:rFonts w:ascii="Segoe UI" w:hAnsi="Segoe UI" w:cs="Segoe UI"/>
      <w:sz w:val="18"/>
      <w:szCs w:val="18"/>
      <w:lang w:val="bg-BG" w:eastAsia="bg-BG"/>
    </w:rPr>
  </w:style>
  <w:style w:type="paragraph" w:customStyle="1" w:styleId="activity">
    <w:name w:val="activity"/>
    <w:basedOn w:val="Normal"/>
    <w:rsid w:val="002A6E8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2.mu-pleven.bg/mod/resource/view.php?id=35641" TargetMode="External"/><Relationship Id="rId18" Type="http://schemas.openxmlformats.org/officeDocument/2006/relationships/hyperlink" Target="http://do2.mu-pleven.bg/mod/resource/view.php?id=35646" TargetMode="External"/><Relationship Id="rId26" Type="http://schemas.openxmlformats.org/officeDocument/2006/relationships/hyperlink" Target="http://do2.mu-pleven.bg/mod/resource/view.php?id=3565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2.mu-pleven.bg/mod/resource/view.php?id=35649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2.mu-pleven.bg/mod/resource/view.php?id=35640" TargetMode="External"/><Relationship Id="rId17" Type="http://schemas.openxmlformats.org/officeDocument/2006/relationships/hyperlink" Target="http://do2.mu-pleven.bg/mod/resource/view.php?id=35645" TargetMode="External"/><Relationship Id="rId25" Type="http://schemas.openxmlformats.org/officeDocument/2006/relationships/hyperlink" Target="http://do2.mu-pleven.bg/mod/resource/view.php?id=3565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2.mu-pleven.bg/mod/resource/view.php?id=35644" TargetMode="External"/><Relationship Id="rId20" Type="http://schemas.openxmlformats.org/officeDocument/2006/relationships/hyperlink" Target="http://do2.mu-pleven.bg/mod/resource/view.php?id=35648" TargetMode="External"/><Relationship Id="rId29" Type="http://schemas.openxmlformats.org/officeDocument/2006/relationships/hyperlink" Target="http://do2.mu-pleven.bg/mod/resource/view.php?id=356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2.mu-pleven.bg/mod/resource/view.php?id=35636" TargetMode="External"/><Relationship Id="rId24" Type="http://schemas.openxmlformats.org/officeDocument/2006/relationships/hyperlink" Target="http://do2.mu-pleven.bg/mod/resource/view.php?id=3565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2.mu-pleven.bg/mod/resource/view.php?id=35643" TargetMode="External"/><Relationship Id="rId23" Type="http://schemas.openxmlformats.org/officeDocument/2006/relationships/hyperlink" Target="http://do2.mu-pleven.bg/mod/resource/view.php?id=35651" TargetMode="External"/><Relationship Id="rId28" Type="http://schemas.openxmlformats.org/officeDocument/2006/relationships/hyperlink" Target="http://do2.mu-pleven.bg/mod/resource/view.php?id=3565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do2.mu-pleven.bg/mod/resource/view.php?id=3564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2.mu-pleven.bg/mod/resource/view.php?id=35635" TargetMode="External"/><Relationship Id="rId14" Type="http://schemas.openxmlformats.org/officeDocument/2006/relationships/hyperlink" Target="http://do2.mu-pleven.bg/mod/resource/view.php?id=35642" TargetMode="External"/><Relationship Id="rId22" Type="http://schemas.openxmlformats.org/officeDocument/2006/relationships/hyperlink" Target="http://do2.mu-pleven.bg/mod/resource/view.php?id=35650" TargetMode="External"/><Relationship Id="rId27" Type="http://schemas.openxmlformats.org/officeDocument/2006/relationships/hyperlink" Target="http://do2.mu-pleven.bg/mod/resource/view.php?id=35655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3765-FCBD-45CD-B596-715C4B30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GGG</cp:lastModifiedBy>
  <cp:revision>40</cp:revision>
  <cp:lastPrinted>2020-03-22T13:31:00Z</cp:lastPrinted>
  <dcterms:created xsi:type="dcterms:W3CDTF">2020-03-19T11:32:00Z</dcterms:created>
  <dcterms:modified xsi:type="dcterms:W3CDTF">2020-03-26T16:32:00Z</dcterms:modified>
</cp:coreProperties>
</file>