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E10FBB" w:rsidRDefault="00E10FBB" w:rsidP="000F5616">
      <w:pPr>
        <w:rPr>
          <w:b/>
          <w:sz w:val="22"/>
          <w:szCs w:val="22"/>
        </w:rPr>
      </w:pPr>
    </w:p>
    <w:p w:rsidR="000F5616" w:rsidRPr="000F5616" w:rsidRDefault="000F5616" w:rsidP="000F5616">
      <w:pPr>
        <w:spacing w:line="360" w:lineRule="auto"/>
        <w:jc w:val="center"/>
        <w:rPr>
          <w:b/>
        </w:rPr>
      </w:pPr>
      <w:r w:rsidRPr="000F5616">
        <w:rPr>
          <w:b/>
        </w:rPr>
        <w:t>ЗДРАВНО ЗАКОНОДАТЕЛСТВО</w:t>
      </w:r>
    </w:p>
    <w:p w:rsidR="000F5616" w:rsidRPr="000F5616" w:rsidRDefault="000F5616" w:rsidP="000F5616">
      <w:pPr>
        <w:spacing w:line="360" w:lineRule="auto"/>
        <w:jc w:val="center"/>
        <w:rPr>
          <w:color w:val="FF0000"/>
        </w:rPr>
      </w:pPr>
      <w:r w:rsidRPr="000F5616">
        <w:rPr>
          <w:b/>
        </w:rPr>
        <w:t>СПЕЦИАЛНОСТ „ОБЩЕСТВЕНО ЗДРАВЕ И ЗДРАВЕ МЕНИДЖМЪНТ“</w:t>
      </w:r>
    </w:p>
    <w:p w:rsidR="00E10FBB" w:rsidRPr="000F5616" w:rsidRDefault="00E10FBB" w:rsidP="00153E17">
      <w:pPr>
        <w:jc w:val="center"/>
        <w:rPr>
          <w:color w:val="FF0000"/>
        </w:rPr>
      </w:pPr>
    </w:p>
    <w:p w:rsidR="000F5616" w:rsidRDefault="000F5616" w:rsidP="00153E17">
      <w:pPr>
        <w:jc w:val="center"/>
        <w:rPr>
          <w:color w:val="FF0000"/>
          <w:sz w:val="28"/>
          <w:szCs w:val="28"/>
        </w:rPr>
      </w:pPr>
    </w:p>
    <w:p w:rsidR="00153E17" w:rsidRPr="00BD1C63" w:rsidRDefault="00BD1C63" w:rsidP="00153E17">
      <w:pPr>
        <w:jc w:val="center"/>
        <w:rPr>
          <w:color w:val="FF0000"/>
          <w:sz w:val="28"/>
          <w:szCs w:val="28"/>
        </w:rPr>
      </w:pPr>
      <w:r w:rsidRPr="00BD1C63">
        <w:rPr>
          <w:color w:val="FF0000"/>
          <w:sz w:val="28"/>
          <w:szCs w:val="28"/>
        </w:rPr>
        <w:t xml:space="preserve">(ПРИМЕР ЗА </w:t>
      </w:r>
      <w:r>
        <w:rPr>
          <w:color w:val="FF0000"/>
          <w:sz w:val="28"/>
          <w:szCs w:val="28"/>
        </w:rPr>
        <w:t>ПОПЪЛВАНЕ НА ИНФОРМАЦЯ ЗА СДО</w:t>
      </w:r>
      <w:r w:rsidRPr="00BD1C63">
        <w:rPr>
          <w:color w:val="FF0000"/>
          <w:sz w:val="28"/>
          <w:szCs w:val="28"/>
        </w:rPr>
        <w:t>)</w:t>
      </w:r>
    </w:p>
    <w:p w:rsidR="00153E17" w:rsidRPr="00923653" w:rsidRDefault="00153E17" w:rsidP="00153E17">
      <w:pPr>
        <w:jc w:val="center"/>
      </w:pPr>
    </w:p>
    <w:p w:rsidR="00E10FBB" w:rsidRPr="00E10FBB" w:rsidRDefault="00E804ED" w:rsidP="00E10FBB">
      <w:pPr>
        <w:numPr>
          <w:ilvl w:val="0"/>
          <w:numId w:val="18"/>
        </w:numPr>
        <w:rPr>
          <w:b/>
          <w:color w:val="FF0000"/>
        </w:rPr>
      </w:pPr>
      <w:r w:rsidRPr="00E10FBB">
        <w:rPr>
          <w:b/>
          <w:color w:val="FF0000"/>
        </w:rPr>
        <w:t>Документът съдържа 6 таблици</w:t>
      </w:r>
      <w:r w:rsidR="00E10FBB" w:rsidRPr="00E10FBB">
        <w:rPr>
          <w:b/>
          <w:color w:val="FF0000"/>
        </w:rPr>
        <w:t xml:space="preserve">. </w:t>
      </w:r>
    </w:p>
    <w:p w:rsidR="00E10FBB" w:rsidRPr="00E10FBB" w:rsidRDefault="00E10FBB" w:rsidP="00E10FBB">
      <w:pPr>
        <w:numPr>
          <w:ilvl w:val="0"/>
          <w:numId w:val="18"/>
        </w:numPr>
        <w:rPr>
          <w:b/>
          <w:color w:val="FF0000"/>
        </w:rPr>
      </w:pPr>
      <w:r w:rsidRPr="00E10FBB">
        <w:rPr>
          <w:b/>
          <w:color w:val="FF0000"/>
        </w:rPr>
        <w:t xml:space="preserve">Използвайте тези, които Ви трябват. </w:t>
      </w:r>
    </w:p>
    <w:p w:rsidR="00142D32" w:rsidRPr="00E10FBB" w:rsidRDefault="00E10FBB" w:rsidP="00E10FBB">
      <w:pPr>
        <w:numPr>
          <w:ilvl w:val="0"/>
          <w:numId w:val="18"/>
        </w:numPr>
        <w:rPr>
          <w:b/>
          <w:color w:val="FF0000"/>
        </w:rPr>
      </w:pPr>
      <w:r w:rsidRPr="00E10FBB">
        <w:rPr>
          <w:b/>
          <w:color w:val="FF0000"/>
        </w:rPr>
        <w:t>Заместете информацията от съответната секция с тази, която следва да се промени в СДО.</w:t>
      </w:r>
    </w:p>
    <w:p w:rsidR="00E10FBB" w:rsidRPr="00E10FBB" w:rsidRDefault="00E10FBB" w:rsidP="00E10FBB">
      <w:pPr>
        <w:numPr>
          <w:ilvl w:val="0"/>
          <w:numId w:val="18"/>
        </w:numPr>
        <w:rPr>
          <w:b/>
          <w:color w:val="FF0000"/>
        </w:rPr>
      </w:pPr>
      <w:r w:rsidRPr="00E10FBB">
        <w:rPr>
          <w:b/>
          <w:color w:val="FF0000"/>
        </w:rPr>
        <w:t xml:space="preserve">Форматирайте информацията, така както трябва да </w:t>
      </w:r>
      <w:r>
        <w:rPr>
          <w:b/>
          <w:color w:val="FF0000"/>
        </w:rPr>
        <w:t>изглежда</w:t>
      </w:r>
      <w:r w:rsidRPr="00E10FBB">
        <w:rPr>
          <w:b/>
          <w:color w:val="FF0000"/>
        </w:rPr>
        <w:t xml:space="preserve"> в СДО.</w:t>
      </w:r>
    </w:p>
    <w:p w:rsidR="00E10FBB" w:rsidRDefault="00E10FBB" w:rsidP="00E10FBB">
      <w:pPr>
        <w:numPr>
          <w:ilvl w:val="0"/>
          <w:numId w:val="18"/>
        </w:numPr>
        <w:rPr>
          <w:b/>
          <w:color w:val="FF0000"/>
        </w:rPr>
      </w:pPr>
      <w:r w:rsidRPr="00E10FBB">
        <w:rPr>
          <w:b/>
          <w:color w:val="FF0000"/>
        </w:rPr>
        <w:t>Изтрийте ненужното от съответната таблица</w:t>
      </w:r>
      <w:r>
        <w:rPr>
          <w:b/>
          <w:color w:val="FF0000"/>
        </w:rPr>
        <w:t>.</w:t>
      </w:r>
    </w:p>
    <w:p w:rsidR="00E10FBB" w:rsidRPr="00E10FBB" w:rsidRDefault="00E10FBB" w:rsidP="00E10FBB">
      <w:pPr>
        <w:numPr>
          <w:ilvl w:val="0"/>
          <w:numId w:val="18"/>
        </w:numPr>
        <w:rPr>
          <w:b/>
          <w:color w:val="FF0000"/>
        </w:rPr>
      </w:pPr>
      <w:r>
        <w:rPr>
          <w:b/>
          <w:color w:val="FF0000"/>
        </w:rPr>
        <w:t xml:space="preserve">Изпращайте файлове и документи във формат на </w:t>
      </w:r>
      <w:r>
        <w:rPr>
          <w:b/>
          <w:color w:val="FF0000"/>
          <w:lang w:val="en-US"/>
        </w:rPr>
        <w:t>Word</w:t>
      </w:r>
      <w:r>
        <w:rPr>
          <w:b/>
          <w:color w:val="FF0000"/>
        </w:rPr>
        <w:t>.</w:t>
      </w:r>
    </w:p>
    <w:p w:rsidR="00142D32" w:rsidRDefault="00142D32" w:rsidP="00153E17">
      <w:pPr>
        <w:jc w:val="center"/>
        <w:rPr>
          <w:b/>
        </w:rPr>
      </w:pPr>
    </w:p>
    <w:p w:rsidR="00E10FBB" w:rsidRDefault="00E10FBB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153E17" w:rsidRPr="00923653" w:rsidRDefault="00153E17" w:rsidP="00153E17">
      <w:pPr>
        <w:jc w:val="center"/>
        <w:rPr>
          <w:b/>
        </w:rPr>
      </w:pPr>
    </w:p>
    <w:p w:rsidR="00142D32" w:rsidRDefault="00142D32" w:rsidP="00153E17">
      <w:pPr>
        <w:jc w:val="center"/>
        <w:rPr>
          <w:b/>
        </w:rPr>
      </w:pPr>
    </w:p>
    <w:p w:rsidR="00142D32" w:rsidRDefault="00142D32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Default="00164C5F" w:rsidP="008063C4">
      <w:pPr>
        <w:jc w:val="center"/>
        <w:rPr>
          <w:b/>
          <w:sz w:val="22"/>
          <w:szCs w:val="22"/>
        </w:rPr>
      </w:pPr>
    </w:p>
    <w:p w:rsidR="00142D32" w:rsidRDefault="00142D32" w:rsidP="008063C4">
      <w:pPr>
        <w:jc w:val="center"/>
        <w:rPr>
          <w:b/>
          <w:sz w:val="22"/>
          <w:szCs w:val="22"/>
        </w:rPr>
      </w:pPr>
    </w:p>
    <w:p w:rsidR="00142D32" w:rsidRPr="00923653" w:rsidRDefault="00142D32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0F5616" w:rsidP="004618AE">
            <w:pPr>
              <w:ind w:firstLine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Учебната дисциплина </w:t>
            </w:r>
            <w:r>
              <w:rPr>
                <w:rFonts w:ascii="Arial" w:hAnsi="Arial" w:cs="Arial"/>
                <w:sz w:val="18"/>
                <w:szCs w:val="18"/>
              </w:rPr>
              <w:t xml:space="preserve">„Здравно </w:t>
            </w:r>
            <w:r w:rsidR="004618AE">
              <w:rPr>
                <w:rFonts w:ascii="Arial" w:hAnsi="Arial" w:cs="Arial"/>
                <w:sz w:val="18"/>
                <w:szCs w:val="18"/>
              </w:rPr>
              <w:t>законодателство“ е о</w:t>
            </w:r>
            <w:r w:rsidRPr="00923653">
              <w:rPr>
                <w:rFonts w:ascii="Arial" w:hAnsi="Arial" w:cs="Arial"/>
                <w:sz w:val="18"/>
                <w:szCs w:val="18"/>
              </w:rPr>
              <w:t>т учеб</w:t>
            </w:r>
            <w:r w:rsidR="004618AE">
              <w:rPr>
                <w:rFonts w:ascii="Arial" w:hAnsi="Arial" w:cs="Arial"/>
                <w:sz w:val="18"/>
                <w:szCs w:val="18"/>
              </w:rPr>
              <w:t xml:space="preserve">ния </w:t>
            </w:r>
            <w:r w:rsidRPr="00923653">
              <w:rPr>
                <w:rFonts w:ascii="Arial" w:hAnsi="Arial" w:cs="Arial"/>
                <w:sz w:val="18"/>
                <w:szCs w:val="18"/>
              </w:rPr>
              <w:t>план за обучение на студенти от МУ – Плевен</w:t>
            </w:r>
            <w:r w:rsidR="004618AE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4618AE" w:rsidRPr="000F5616">
              <w:rPr>
                <w:rFonts w:ascii="Arial" w:hAnsi="Arial" w:cs="Arial"/>
                <w:sz w:val="18"/>
                <w:szCs w:val="18"/>
              </w:rPr>
              <w:t>специалност „Обществено здраве и здравен мениджмънт“</w:t>
            </w:r>
            <w:r w:rsidR="004618AE">
              <w:rPr>
                <w:rFonts w:ascii="Arial" w:hAnsi="Arial" w:cs="Arial"/>
                <w:sz w:val="18"/>
                <w:szCs w:val="18"/>
              </w:rPr>
              <w:t xml:space="preserve">, дистанционна форма на обучение.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18AE" w:rsidRPr="00923653">
              <w:rPr>
                <w:rFonts w:ascii="Arial" w:hAnsi="Arial" w:cs="Arial"/>
                <w:sz w:val="18"/>
                <w:szCs w:val="18"/>
              </w:rPr>
              <w:t xml:space="preserve">Тя е </w:t>
            </w:r>
            <w:r w:rsidR="004618AE">
              <w:rPr>
                <w:rFonts w:ascii="Arial" w:hAnsi="Arial" w:cs="Arial"/>
                <w:sz w:val="18"/>
                <w:szCs w:val="18"/>
              </w:rPr>
              <w:t xml:space="preserve">избираема </w:t>
            </w:r>
            <w:r w:rsidR="004618AE" w:rsidRPr="00923653">
              <w:rPr>
                <w:rFonts w:ascii="Arial" w:hAnsi="Arial" w:cs="Arial"/>
                <w:sz w:val="18"/>
                <w:szCs w:val="18"/>
              </w:rPr>
              <w:t>и се изучава във втори семестър на първи курс, като завършва със семестриален изпит.</w:t>
            </w:r>
            <w:r w:rsidR="004618AE">
              <w:rPr>
                <w:rFonts w:ascii="Arial" w:hAnsi="Arial" w:cs="Arial"/>
                <w:sz w:val="18"/>
                <w:szCs w:val="18"/>
              </w:rPr>
              <w:t xml:space="preserve"> Целта ба о</w:t>
            </w:r>
            <w:r w:rsidRPr="000F5616">
              <w:rPr>
                <w:rFonts w:ascii="Arial" w:hAnsi="Arial" w:cs="Arial"/>
                <w:sz w:val="18"/>
                <w:szCs w:val="18"/>
              </w:rPr>
              <w:t xml:space="preserve">бучението по дисциплината „Здравно законодателство” </w:t>
            </w:r>
            <w:r w:rsidR="004618AE">
              <w:rPr>
                <w:rFonts w:ascii="Arial" w:hAnsi="Arial" w:cs="Arial"/>
                <w:sz w:val="18"/>
                <w:szCs w:val="18"/>
              </w:rPr>
              <w:t xml:space="preserve">е студентите да придобият знания по проблемите на здравната </w:t>
            </w:r>
            <w:r w:rsidRPr="000F5616">
              <w:rPr>
                <w:rFonts w:ascii="Arial" w:hAnsi="Arial" w:cs="Arial"/>
                <w:sz w:val="18"/>
                <w:szCs w:val="18"/>
              </w:rPr>
              <w:t>система като социална система и необходимостта от нейното правно регулиране, с основните насоки на здравната реформа в България и нейните законодателни основи, с основните функции и принципи на здравното законодателство и със съдържанието на основните здравни закони</w:t>
            </w:r>
            <w:r w:rsidR="004618AE">
              <w:rPr>
                <w:rFonts w:ascii="Arial" w:hAnsi="Arial" w:cs="Arial"/>
                <w:sz w:val="18"/>
                <w:szCs w:val="18"/>
              </w:rPr>
              <w:t xml:space="preserve"> – Закон за здравето, Закон за здравното осигуряване и Закон за лечебните заведения. </w:t>
            </w:r>
            <w:r w:rsidR="00003EF1" w:rsidRPr="00923653">
              <w:rPr>
                <w:rFonts w:ascii="Arial" w:hAnsi="Arial" w:cs="Arial"/>
                <w:sz w:val="18"/>
                <w:szCs w:val="18"/>
              </w:rPr>
              <w:t>Учебната дисциплина е осигурена с подроб</w:t>
            </w:r>
            <w:r w:rsidR="004618AE">
              <w:rPr>
                <w:rFonts w:ascii="Arial" w:hAnsi="Arial" w:cs="Arial"/>
                <w:sz w:val="18"/>
                <w:szCs w:val="18"/>
              </w:rPr>
              <w:t>е</w:t>
            </w:r>
            <w:r w:rsidR="00003EF1" w:rsidRPr="00923653">
              <w:rPr>
                <w:rFonts w:ascii="Arial" w:hAnsi="Arial" w:cs="Arial"/>
                <w:sz w:val="18"/>
                <w:szCs w:val="18"/>
              </w:rPr>
              <w:t>н</w:t>
            </w:r>
            <w:r w:rsidR="004618AE">
              <w:rPr>
                <w:rFonts w:ascii="Arial" w:hAnsi="Arial" w:cs="Arial"/>
                <w:sz w:val="18"/>
                <w:szCs w:val="18"/>
              </w:rPr>
              <w:t xml:space="preserve"> лекционен материал, разпределен в 8 глави и </w:t>
            </w:r>
            <w:r w:rsidR="00003EF1" w:rsidRPr="00923653">
              <w:rPr>
                <w:rFonts w:ascii="Arial" w:hAnsi="Arial" w:cs="Arial"/>
                <w:sz w:val="18"/>
                <w:szCs w:val="18"/>
              </w:rPr>
              <w:t xml:space="preserve">презентации за всяка отделна лекция. Разработена е тестова система </w:t>
            </w:r>
            <w:r w:rsidR="004618AE">
              <w:rPr>
                <w:rFonts w:ascii="Arial" w:hAnsi="Arial" w:cs="Arial"/>
                <w:sz w:val="18"/>
                <w:szCs w:val="18"/>
              </w:rPr>
              <w:t>от 100 тестови въпроси за краен изпит и система от 50 тестови въпроса за самоподготовка</w:t>
            </w:r>
            <w:r w:rsidR="00003EF1"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4618AE" w:rsidP="004618AE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Няма промени спрямо представените данни в модула „Управление на човешките ресурси“ от първия семестър.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1C4837" w:rsidRPr="001C4837" w:rsidRDefault="001C4837" w:rsidP="001C4837">
            <w:pPr>
              <w:ind w:firstLin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Учебната програма е разработ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ена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 катедра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„Общественоздравни науки“ от доц. д-р Гена Грънчарова при спазване на всички процедури за утвърждаване на учебна програма. </w:t>
            </w:r>
            <w:r w:rsidRPr="001C4837">
              <w:rPr>
                <w:rFonts w:ascii="Arial" w:hAnsi="Arial" w:cs="Arial"/>
                <w:sz w:val="18"/>
                <w:szCs w:val="18"/>
              </w:rPr>
              <w:t>Учебното съдържание е обособено в следните раздели: Здравната система като социална система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C4837">
              <w:rPr>
                <w:rFonts w:ascii="Arial" w:hAnsi="Arial" w:cs="Arial"/>
                <w:sz w:val="18"/>
                <w:szCs w:val="18"/>
              </w:rPr>
              <w:t>Здравната служба като основна част от здравната система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C4837">
              <w:rPr>
                <w:rFonts w:ascii="Arial" w:hAnsi="Arial" w:cs="Arial"/>
                <w:sz w:val="18"/>
                <w:szCs w:val="18"/>
              </w:rPr>
              <w:t>Основни насоки на здравната реформа в България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C4837">
              <w:rPr>
                <w:rFonts w:ascii="Arial" w:hAnsi="Arial" w:cs="Arial"/>
                <w:sz w:val="18"/>
                <w:szCs w:val="18"/>
              </w:rPr>
              <w:t>Развитие на здравното законодателство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в България в исторически план; </w:t>
            </w:r>
            <w:r w:rsidRPr="001C4837">
              <w:rPr>
                <w:rFonts w:ascii="Arial" w:hAnsi="Arial" w:cs="Arial"/>
                <w:sz w:val="18"/>
                <w:szCs w:val="18"/>
              </w:rPr>
              <w:t>Същност на здравното законодателство – основни функции, принципи, видове нормативни актове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C4837">
              <w:rPr>
                <w:rFonts w:ascii="Arial" w:hAnsi="Arial" w:cs="Arial"/>
                <w:sz w:val="18"/>
                <w:szCs w:val="18"/>
              </w:rPr>
              <w:t>Основни положения на Закона за здравето като устройствен (</w:t>
            </w:r>
            <w:proofErr w:type="spellStart"/>
            <w:r w:rsidRPr="001C4837">
              <w:rPr>
                <w:rFonts w:ascii="Arial" w:hAnsi="Arial" w:cs="Arial"/>
                <w:sz w:val="18"/>
                <w:szCs w:val="18"/>
              </w:rPr>
              <w:t>конститутивен</w:t>
            </w:r>
            <w:proofErr w:type="spellEnd"/>
            <w:r w:rsidRPr="001C4837">
              <w:rPr>
                <w:rFonts w:ascii="Arial" w:hAnsi="Arial" w:cs="Arial"/>
                <w:sz w:val="18"/>
                <w:szCs w:val="18"/>
              </w:rPr>
              <w:t xml:space="preserve"> закон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C4837">
              <w:rPr>
                <w:rFonts w:ascii="Arial" w:hAnsi="Arial" w:cs="Arial"/>
                <w:sz w:val="18"/>
                <w:szCs w:val="18"/>
              </w:rPr>
              <w:t>Основни положения на Закона за здравното осигуряване като специфичен закон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C4837">
              <w:rPr>
                <w:rFonts w:ascii="Arial" w:hAnsi="Arial" w:cs="Arial"/>
                <w:sz w:val="18"/>
                <w:szCs w:val="18"/>
              </w:rPr>
              <w:t>Основни положения на Закона за лечебните заведения като специфичен закон.</w:t>
            </w:r>
          </w:p>
          <w:p w:rsidR="001C4837" w:rsidRPr="001C4837" w:rsidRDefault="001C4837" w:rsidP="001C4837">
            <w:pPr>
              <w:ind w:firstLin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837">
              <w:rPr>
                <w:rFonts w:ascii="Arial" w:hAnsi="Arial" w:cs="Arial"/>
                <w:sz w:val="18"/>
                <w:szCs w:val="18"/>
              </w:rPr>
              <w:lastRenderedPageBreak/>
              <w:t xml:space="preserve">След преминаване на курса по здравно законодателство студентите от специалност „Обществено здраве и здравен мениджмънт“ трябва: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1C4837">
              <w:rPr>
                <w:rFonts w:ascii="Arial" w:hAnsi="Arial" w:cs="Arial"/>
                <w:sz w:val="18"/>
                <w:szCs w:val="18"/>
              </w:rPr>
              <w:t xml:space="preserve">а познават същността на здравеопазването като система;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1C4837">
              <w:rPr>
                <w:rFonts w:ascii="Arial" w:hAnsi="Arial" w:cs="Arial"/>
                <w:sz w:val="18"/>
                <w:szCs w:val="18"/>
              </w:rPr>
              <w:t>а познават основните насоки на здравната реформа в България;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1C4837">
              <w:rPr>
                <w:rFonts w:ascii="Arial" w:hAnsi="Arial" w:cs="Arial"/>
                <w:sz w:val="18"/>
                <w:szCs w:val="18"/>
              </w:rPr>
              <w:t xml:space="preserve">а разбират същността на здравното законодателство, разликите между етични и правни норми, функциите и основните принципи на здравното законодателство;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1C4837">
              <w:rPr>
                <w:rFonts w:ascii="Arial" w:hAnsi="Arial" w:cs="Arial"/>
                <w:sz w:val="18"/>
                <w:szCs w:val="18"/>
              </w:rPr>
              <w:t>а разбират конституционните основи на здравното законодателство;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1C4837">
              <w:rPr>
                <w:rFonts w:ascii="Arial" w:hAnsi="Arial" w:cs="Arial"/>
                <w:sz w:val="18"/>
                <w:szCs w:val="18"/>
              </w:rPr>
              <w:t>а класифицират и характеризират видовете законодателни актове и принципите на тяхното изработване и приемане;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1C4837">
              <w:rPr>
                <w:rFonts w:ascii="Arial" w:hAnsi="Arial" w:cs="Arial"/>
                <w:sz w:val="18"/>
                <w:szCs w:val="18"/>
              </w:rPr>
              <w:t>а познават съдържанието на основните здравни закони: Закона за Здравето, Закона за здравното осигуряване и Закона за лечебните заведения.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BC0D32" w:rsidRPr="00923653" w:rsidRDefault="00BD2061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9060" cy="99060"/>
                  <wp:effectExtent l="0" t="0" r="0" b="0"/>
                  <wp:docPr id="58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(Файл Uprog_inf.doc)</w:t>
            </w:r>
            <w:r w:rsidR="007729B2">
              <w:rPr>
                <w:rFonts w:ascii="Arial" w:hAnsi="Arial" w:cs="Arial"/>
                <w:i/>
                <w:sz w:val="18"/>
                <w:szCs w:val="18"/>
              </w:rPr>
              <w:t xml:space="preserve"> – представете програмата на файл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 с у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чебно пособие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54BF9" w:rsidRPr="00923653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</w:t>
            </w:r>
            <w:r w:rsidR="001C4837">
              <w:rPr>
                <w:rFonts w:ascii="Arial" w:hAnsi="Arial" w:cs="Arial"/>
                <w:sz w:val="18"/>
                <w:szCs w:val="18"/>
              </w:rPr>
              <w:t>по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4837">
              <w:rPr>
                <w:rFonts w:ascii="Arial" w:hAnsi="Arial" w:cs="Arial"/>
                <w:sz w:val="18"/>
                <w:szCs w:val="18"/>
              </w:rPr>
              <w:t>„Здравно законодателство“ е предназначен з</w:t>
            </w:r>
            <w:r w:rsidR="001C4837" w:rsidRPr="00923653">
              <w:rPr>
                <w:rFonts w:ascii="Arial" w:hAnsi="Arial" w:cs="Arial"/>
                <w:sz w:val="18"/>
                <w:szCs w:val="18"/>
              </w:rPr>
              <w:t>а студенти от МУ – Плевен</w:t>
            </w:r>
            <w:r w:rsidR="001C4837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1C4837" w:rsidRPr="000F5616">
              <w:rPr>
                <w:rFonts w:ascii="Arial" w:hAnsi="Arial" w:cs="Arial"/>
                <w:sz w:val="18"/>
                <w:szCs w:val="18"/>
              </w:rPr>
              <w:t>специалност „Обществено здраве и здравен мениджмънт“</w:t>
            </w:r>
            <w:r w:rsidR="001C4837">
              <w:rPr>
                <w:rFonts w:ascii="Arial" w:hAnsi="Arial" w:cs="Arial"/>
                <w:sz w:val="18"/>
                <w:szCs w:val="18"/>
              </w:rPr>
              <w:t>, дистанционна форма на обучение.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1C4837">
              <w:rPr>
                <w:rFonts w:ascii="Arial" w:hAnsi="Arial" w:cs="Arial"/>
                <w:sz w:val="18"/>
                <w:szCs w:val="18"/>
              </w:rPr>
              <w:t xml:space="preserve">общо 15 часа, разпределени в осем лекции:: пет двучасови лекции, една тричасова и две – едночасови лекции. </w:t>
            </w:r>
            <w:r w:rsidR="003B1301">
              <w:rPr>
                <w:rFonts w:ascii="Arial" w:hAnsi="Arial" w:cs="Arial"/>
                <w:sz w:val="18"/>
                <w:szCs w:val="18"/>
              </w:rPr>
              <w:t>З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а всяка една от </w:t>
            </w:r>
            <w:r w:rsidR="003B1301">
              <w:rPr>
                <w:rFonts w:ascii="Arial" w:hAnsi="Arial" w:cs="Arial"/>
                <w:sz w:val="18"/>
                <w:szCs w:val="18"/>
              </w:rPr>
              <w:t xml:space="preserve">лекциите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се предлага подробна </w:t>
            </w:r>
            <w:r w:rsidR="003B1301">
              <w:rPr>
                <w:rFonts w:ascii="Arial" w:hAnsi="Arial" w:cs="Arial"/>
                <w:sz w:val="18"/>
                <w:szCs w:val="18"/>
                <w:lang w:val="en-US"/>
              </w:rPr>
              <w:t>PowerPoint</w:t>
            </w:r>
            <w:r w:rsidR="003B1301" w:rsidRPr="003B13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301">
              <w:rPr>
                <w:rFonts w:ascii="Arial" w:hAnsi="Arial" w:cs="Arial"/>
                <w:sz w:val="18"/>
                <w:szCs w:val="18"/>
              </w:rPr>
              <w:t>п</w:t>
            </w:r>
            <w:r w:rsidRPr="00923653">
              <w:rPr>
                <w:rFonts w:ascii="Arial" w:hAnsi="Arial" w:cs="Arial"/>
                <w:sz w:val="18"/>
                <w:szCs w:val="18"/>
              </w:rPr>
              <w:t>резентация</w:t>
            </w:r>
            <w:r w:rsidR="003B1301">
              <w:rPr>
                <w:rFonts w:ascii="Arial" w:hAnsi="Arial" w:cs="Arial"/>
                <w:sz w:val="18"/>
                <w:szCs w:val="18"/>
              </w:rPr>
              <w:t xml:space="preserve">. Разработени са 100 тестови въпроса за краен изпит и 50 тестови въпроса за самоподготовка. Лекционният </w:t>
            </w:r>
            <w:proofErr w:type="spellStart"/>
            <w:r w:rsidR="003B1301">
              <w:rPr>
                <w:rFonts w:ascii="Arial" w:hAnsi="Arial" w:cs="Arial"/>
                <w:sz w:val="18"/>
                <w:szCs w:val="18"/>
              </w:rPr>
              <w:t>материал,и</w:t>
            </w:r>
            <w:proofErr w:type="spellEnd"/>
            <w:r w:rsidR="003B1301">
              <w:rPr>
                <w:rFonts w:ascii="Arial" w:hAnsi="Arial" w:cs="Arial"/>
                <w:sz w:val="18"/>
                <w:szCs w:val="18"/>
              </w:rPr>
              <w:t xml:space="preserve"> презентациите, предложени в този курс, </w:t>
            </w:r>
            <w:r w:rsidRPr="00923653">
              <w:rPr>
                <w:rFonts w:ascii="Arial" w:hAnsi="Arial" w:cs="Arial"/>
                <w:sz w:val="18"/>
                <w:szCs w:val="18"/>
              </w:rPr>
              <w:t>мо</w:t>
            </w:r>
            <w:r w:rsidR="003B1301">
              <w:rPr>
                <w:rFonts w:ascii="Arial" w:hAnsi="Arial" w:cs="Arial"/>
                <w:sz w:val="18"/>
                <w:szCs w:val="18"/>
              </w:rPr>
              <w:t xml:space="preserve">гат </w:t>
            </w:r>
            <w:r w:rsidRPr="00923653">
              <w:rPr>
                <w:rFonts w:ascii="Arial" w:hAnsi="Arial" w:cs="Arial"/>
                <w:sz w:val="18"/>
                <w:szCs w:val="18"/>
              </w:rPr>
              <w:t>да се използва</w:t>
            </w:r>
            <w:r w:rsidR="003B1301">
              <w:rPr>
                <w:rFonts w:ascii="Arial" w:hAnsi="Arial" w:cs="Arial"/>
                <w:sz w:val="18"/>
                <w:szCs w:val="18"/>
              </w:rPr>
              <w:t>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и от всички други обучаеми </w:t>
            </w:r>
            <w:r w:rsidR="003B1301">
              <w:rPr>
                <w:rFonts w:ascii="Arial" w:hAnsi="Arial" w:cs="Arial"/>
                <w:sz w:val="18"/>
                <w:szCs w:val="18"/>
              </w:rPr>
              <w:t xml:space="preserve">в специалностите, където дисциплината „Здравно законодателство е включена в учебните планове. 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C6316" w:rsidRPr="00923653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4BF9" w:rsidRPr="00923653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 и учебното пособие...</w:t>
            </w:r>
          </w:p>
          <w:p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</w:t>
            </w:r>
            <w:r w:rsidR="00545B15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та е строго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специфично за дисциплините)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7729B2" w:rsidRDefault="007729B2" w:rsidP="007729B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729B2">
              <w:rPr>
                <w:rFonts w:ascii="Arial" w:hAnsi="Arial" w:cs="Arial"/>
                <w:i/>
                <w:sz w:val="18"/>
                <w:szCs w:val="18"/>
              </w:rPr>
              <w:t xml:space="preserve">(в полето тук поставете кратка информация за </w:t>
            </w:r>
            <w:r>
              <w:rPr>
                <w:rFonts w:ascii="Arial" w:hAnsi="Arial" w:cs="Arial"/>
                <w:i/>
                <w:sz w:val="18"/>
                <w:szCs w:val="18"/>
              </w:rPr>
              <w:t>допълнителни материали</w:t>
            </w:r>
            <w:r w:rsidRPr="007729B2">
              <w:rPr>
                <w:rFonts w:ascii="Arial" w:hAnsi="Arial" w:cs="Arial"/>
                <w:i/>
                <w:sz w:val="18"/>
                <w:szCs w:val="18"/>
              </w:rPr>
              <w:t xml:space="preserve"> – 10-12 реда</w:t>
            </w:r>
            <w:r w:rsidR="00234899">
              <w:rPr>
                <w:rFonts w:ascii="Arial" w:hAnsi="Arial" w:cs="Arial"/>
                <w:i/>
                <w:sz w:val="18"/>
                <w:szCs w:val="18"/>
              </w:rPr>
              <w:t>, например</w:t>
            </w:r>
            <w:r w:rsidRPr="007729B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45B15" w:rsidRPr="00923653" w:rsidRDefault="00545B15" w:rsidP="007729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За разширяване на познанията в съответствие с представената учебната програма по дисциплината са предвидени и допълнителни учебни материали. </w:t>
            </w:r>
            <w:r w:rsidR="003B1301">
              <w:rPr>
                <w:rFonts w:ascii="Arial" w:hAnsi="Arial" w:cs="Arial"/>
                <w:color w:val="000000"/>
                <w:sz w:val="18"/>
                <w:szCs w:val="18"/>
              </w:rPr>
              <w:t>Всяка лекция е придружена от презентации, отразяващи основните моменти на учебното съдържание. За детайлно запознаване със съдържанието на основните закони ст</w:t>
            </w:r>
            <w:r w:rsidR="004B0D06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3B1301">
              <w:rPr>
                <w:rFonts w:ascii="Arial" w:hAnsi="Arial" w:cs="Arial"/>
                <w:color w:val="000000"/>
                <w:sz w:val="18"/>
                <w:szCs w:val="18"/>
              </w:rPr>
              <w:t xml:space="preserve">дентите се насочват към Българския правен портал </w:t>
            </w:r>
            <w:r w:rsidR="004B0D0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Lex</w:t>
            </w:r>
            <w:r w:rsidR="004B0D06" w:rsidRPr="004B0D0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proofErr w:type="spellStart"/>
            <w:r w:rsidR="004B0D0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bg</w:t>
            </w:r>
            <w:proofErr w:type="spellEnd"/>
            <w:r w:rsidR="004B0D06" w:rsidRPr="004B0D0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B0D06">
              <w:rPr>
                <w:rFonts w:ascii="Arial" w:hAnsi="Arial" w:cs="Arial"/>
                <w:color w:val="000000"/>
                <w:sz w:val="18"/>
                <w:szCs w:val="18"/>
              </w:rPr>
              <w:t xml:space="preserve">където могат да се проследят всички настъпили промени и допълнения на законите след тяхното първоначално приемане и обнародване в Държавен вестник. Освен това, на студентите се препоръчва да ползват и подзаконови нормативни актове, отразени в Българския правен портал или на сайта на Министерство на здравеопазването, с което несъмнено ще разширят своите познания по здравно законодателство. .  </w:t>
            </w:r>
          </w:p>
          <w:p w:rsidR="00545B15" w:rsidRPr="00923653" w:rsidRDefault="00545B15" w:rsidP="004B0D06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45B15" w:rsidRPr="00923653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:rsidR="00545B15" w:rsidRPr="00923653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по-долу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</w:t>
            </w:r>
            <w:r w:rsidR="004B0D06">
              <w:rPr>
                <w:rFonts w:ascii="Arial" w:hAnsi="Arial" w:cs="Arial"/>
                <w:color w:val="000000"/>
                <w:sz w:val="18"/>
                <w:szCs w:val="18"/>
              </w:rPr>
              <w:t>на сайта на Българския правен портал и на сайтовете на Министерство на здравеопазването, Национална здравноосигурител</w:t>
            </w:r>
            <w:r w:rsidR="004D2C56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4B0D06">
              <w:rPr>
                <w:rFonts w:ascii="Arial" w:hAnsi="Arial" w:cs="Arial"/>
                <w:color w:val="000000"/>
                <w:sz w:val="18"/>
                <w:szCs w:val="18"/>
              </w:rPr>
              <w:t xml:space="preserve">а каса и др.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Препоръчаната основна и допълнителна литература са посочени във връзката по-долу.</w:t>
            </w:r>
          </w:p>
          <w:p w:rsidR="00C61144" w:rsidRPr="00923653" w:rsidRDefault="00BD2061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9060" cy="99060"/>
                  <wp:effectExtent l="0" t="0" r="0" b="0"/>
                  <wp:docPr id="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B1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B15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(Файл literatura.doc)</w:t>
            </w:r>
          </w:p>
          <w:p w:rsidR="00113B47" w:rsidRPr="00923653" w:rsidRDefault="00113B47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4B0D06" w:rsidRDefault="008B296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6. </w:t>
            </w:r>
            <w:r w:rsidR="004B0D06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курсови работи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8B2964" w:rsidRPr="008B2964" w:rsidRDefault="008B2964" w:rsidP="008B2964">
            <w:pPr>
              <w:rPr>
                <w:rFonts w:ascii="Arial" w:hAnsi="Arial" w:cs="Arial"/>
                <w:sz w:val="18"/>
                <w:szCs w:val="18"/>
              </w:rPr>
            </w:pPr>
            <w:r w:rsidRPr="008B2964">
              <w:rPr>
                <w:rFonts w:ascii="Arial" w:hAnsi="Arial" w:cs="Arial"/>
                <w:sz w:val="18"/>
                <w:szCs w:val="18"/>
              </w:rPr>
              <w:t>По дисциплината „Здравно законодателство“ не се предвиждат практически занятия и разработка на  курсови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работи. 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64C5F" w:rsidRPr="00923653" w:rsidRDefault="00164C5F" w:rsidP="008B2964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>т получените познания, като се концентрира върху основни</w:t>
            </w:r>
            <w:r w:rsidR="008B2964">
              <w:rPr>
                <w:rFonts w:ascii="Arial" w:hAnsi="Arial" w:cs="Arial"/>
                <w:sz w:val="18"/>
                <w:szCs w:val="18"/>
              </w:rPr>
              <w:t>те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преминатия лекционен курс и </w:t>
            </w:r>
            <w:r w:rsidRPr="00923653">
              <w:rPr>
                <w:rFonts w:ascii="Arial" w:hAnsi="Arial" w:cs="Arial"/>
                <w:sz w:val="18"/>
                <w:szCs w:val="18"/>
              </w:rPr>
              <w:t>представен</w:t>
            </w:r>
            <w:r w:rsidR="008B2964">
              <w:rPr>
                <w:rFonts w:ascii="Arial" w:hAnsi="Arial" w:cs="Arial"/>
                <w:sz w:val="18"/>
                <w:szCs w:val="18"/>
              </w:rPr>
              <w:t xml:space="preserve">ите към него презентации.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8B2964">
              <w:rPr>
                <w:rFonts w:ascii="Arial" w:hAnsi="Arial" w:cs="Arial"/>
                <w:sz w:val="18"/>
                <w:szCs w:val="18"/>
              </w:rPr>
              <w:t xml:space="preserve">лекционния материал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презентациите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8B2964">
              <w:rPr>
                <w:rFonts w:ascii="Arial" w:hAnsi="Arial" w:cs="Arial"/>
                <w:sz w:val="18"/>
                <w:szCs w:val="18"/>
              </w:rPr>
              <w:t xml:space="preserve">всички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въпроси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конспекта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информацията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се съдържа </w:t>
            </w:r>
            <w:r w:rsidR="008B2964">
              <w:rPr>
                <w:rFonts w:ascii="Arial" w:hAnsi="Arial" w:cs="Arial"/>
                <w:sz w:val="18"/>
                <w:szCs w:val="18"/>
              </w:rPr>
              <w:t xml:space="preserve">както в лекционния материал, така и презентациите.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Това </w:t>
            </w:r>
            <w:r w:rsidR="008B2964">
              <w:rPr>
                <w:rFonts w:ascii="Arial" w:hAnsi="Arial" w:cs="Arial"/>
                <w:sz w:val="18"/>
                <w:szCs w:val="18"/>
              </w:rPr>
              <w:t xml:space="preserve">ще позволи на студентите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да </w:t>
            </w:r>
            <w:r w:rsidR="008B2964">
              <w:rPr>
                <w:rFonts w:ascii="Arial" w:hAnsi="Arial" w:cs="Arial"/>
                <w:sz w:val="18"/>
                <w:szCs w:val="18"/>
              </w:rPr>
              <w:t>намерят отговори на всички въпроси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в представените материали. 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735D" w:rsidRPr="00923653" w:rsidRDefault="00BD2061" w:rsidP="00B67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9060" cy="99060"/>
                  <wp:effectExtent l="0" t="0" r="0" b="0"/>
                  <wp:docPr id="1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konspekt.doc)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041E4" w:rsidRPr="00923653" w:rsidRDefault="004D2C56" w:rsidP="00D041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време на самоподготовката и на крайния изпит в компютърна зала се генерират тестове по 30 въпроса. Тестовете се изпълняват след п</w:t>
            </w:r>
            <w:r w:rsidR="000E66BE" w:rsidRPr="00923653">
              <w:rPr>
                <w:rFonts w:ascii="Arial" w:hAnsi="Arial" w:cs="Arial"/>
                <w:sz w:val="18"/>
                <w:szCs w:val="18"/>
              </w:rPr>
              <w:t xml:space="preserve">реминаване на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пълния курс по учебната дисциплина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B2964">
              <w:rPr>
                <w:rFonts w:ascii="Arial" w:hAnsi="Arial" w:cs="Arial"/>
                <w:sz w:val="18"/>
                <w:szCs w:val="18"/>
              </w:rPr>
              <w:t xml:space="preserve">Въпросите по учебната дисциплина съдържат само по едно вярно твърдение и обхващат целия предвиден учебен материал. </w:t>
            </w:r>
            <w:r>
              <w:rPr>
                <w:rFonts w:ascii="Arial" w:hAnsi="Arial" w:cs="Arial"/>
                <w:sz w:val="18"/>
                <w:szCs w:val="18"/>
              </w:rPr>
              <w:t xml:space="preserve">Минималното изискуемо ниво е 60%, т.е. 18 верни отговора. Всеки верен отговор над 60% прибавя към оценката на студента по 0.25. Скалата за оформяне на крайната оценка е посочена по-долу.  </w:t>
            </w:r>
          </w:p>
          <w:p w:rsidR="00D041E4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94ACF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Тестовете са два основни вида – за самостоятелна подготовка и за семестриален изпит. Тестовете за самостоятелна </w:t>
            </w:r>
            <w:r w:rsidRPr="00923653">
              <w:rPr>
                <w:rFonts w:ascii="Arial" w:hAnsi="Arial" w:cs="Arial"/>
                <w:sz w:val="18"/>
                <w:szCs w:val="18"/>
              </w:rPr>
              <w:lastRenderedPageBreak/>
              <w:t>подготовка се изпълняват самостоятелно от обучаемите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 xml:space="preserve"> чрез Системата за дистанционно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обучение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активни за определен от преподавателите период. 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>На студентите се позволява да решават тестовете за само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стоятелна подготовка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няколко пъти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 xml:space="preserve">, като за положителна се приема най-високата получена оценка от поредните решавания. </w:t>
            </w:r>
          </w:p>
          <w:p w:rsidR="00894ACF" w:rsidRPr="00923653" w:rsidRDefault="00894ACF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2864" w:rsidRDefault="00372BE5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 xml:space="preserve">всяко отделно решаване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 xml:space="preserve">на определен тест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се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лимитира време, с което студентите следва да се съобразяват.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Между две последователни решавания на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отделен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тест също има заложено време, което следва да се изчака.. 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>Положителни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те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резултат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от решаване на тестовете за самостоятелна подготовка са едно от условията за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явяване на семестриален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изпит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. Семестриалният изпит също се провежда по тестова система</w:t>
            </w:r>
            <w:r w:rsidR="0061286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12864" w:rsidRDefault="0061286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41E4" w:rsidRPr="00923653" w:rsidRDefault="0061286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Критериите за формиране на окончателната оценка </w:t>
            </w:r>
            <w:r w:rsidR="004D2C56">
              <w:rPr>
                <w:rFonts w:ascii="Arial" w:hAnsi="Arial" w:cs="Arial"/>
                <w:sz w:val="18"/>
                <w:szCs w:val="18"/>
              </w:rPr>
              <w:t xml:space="preserve">включват </w:t>
            </w:r>
            <w:r>
              <w:rPr>
                <w:rFonts w:ascii="Arial" w:hAnsi="Arial" w:cs="Arial"/>
                <w:sz w:val="18"/>
                <w:szCs w:val="18"/>
              </w:rPr>
              <w:t xml:space="preserve">20% от най-високата оценка, получена по време на самоподготовката и 80% от резултата от крайния изпит.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направените от преподавател</w:t>
            </w:r>
            <w:r w:rsidR="00612864">
              <w:rPr>
                <w:rFonts w:ascii="Arial" w:hAnsi="Arial" w:cs="Arial"/>
                <w:sz w:val="18"/>
                <w:szCs w:val="18"/>
              </w:rPr>
              <w:t>я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бележки и препоръки.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BD2061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9060" cy="99060"/>
                  <wp:effectExtent l="0" t="0" r="0" b="0"/>
                  <wp:docPr id="1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belegki.doc)</w:t>
            </w:r>
            <w:r w:rsidR="00520D52">
              <w:rPr>
                <w:rFonts w:ascii="Arial" w:hAnsi="Arial" w:cs="Arial"/>
                <w:i/>
                <w:sz w:val="18"/>
                <w:szCs w:val="18"/>
              </w:rPr>
              <w:t xml:space="preserve"> пълната информация поставете във файла 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20D52" w:rsidRPr="007729B2" w:rsidRDefault="00520D52" w:rsidP="00520D5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729B2">
              <w:rPr>
                <w:rFonts w:ascii="Arial" w:hAnsi="Arial" w:cs="Arial"/>
                <w:i/>
                <w:sz w:val="18"/>
                <w:szCs w:val="18"/>
              </w:rPr>
              <w:t xml:space="preserve">(в полето тук поставете </w:t>
            </w:r>
            <w:r>
              <w:rPr>
                <w:rFonts w:ascii="Arial" w:hAnsi="Arial" w:cs="Arial"/>
                <w:i/>
                <w:sz w:val="18"/>
                <w:szCs w:val="18"/>
              </w:rPr>
              <w:t>вашите специфични указания за форума</w:t>
            </w:r>
            <w:r w:rsidRPr="007729B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20D52" w:rsidRPr="007729B2" w:rsidRDefault="00520D52" w:rsidP="00520D5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729B2">
              <w:rPr>
                <w:rFonts w:ascii="Arial" w:hAnsi="Arial" w:cs="Arial"/>
                <w:i/>
                <w:sz w:val="18"/>
                <w:szCs w:val="18"/>
              </w:rPr>
              <w:t xml:space="preserve">(в полето тук поставете </w:t>
            </w:r>
            <w:r>
              <w:rPr>
                <w:rFonts w:ascii="Arial" w:hAnsi="Arial" w:cs="Arial"/>
                <w:i/>
                <w:sz w:val="18"/>
                <w:szCs w:val="18"/>
              </w:rPr>
              <w:t>вашите специфични указания за консултациите</w:t>
            </w:r>
            <w:r w:rsidRPr="007729B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674F" w:rsidRPr="00923653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Присъствените консултации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оповестен от 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готовка по учебната дисциплина и особеностите в решаването на практическите задачи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. В тях се изяснява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начина за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разработването на курсовата работа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следва да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се използва форума по дисциплината и електронната поща за връзка с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Предвиждат се и дистанционни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, които се провеждат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чрез виртуална класна стая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или другите средства за връзка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. Условията за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из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ползване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 дистанционни консултации </w:t>
            </w:r>
            <w:r w:rsidR="00727CCA" w:rsidRPr="00923653">
              <w:rPr>
                <w:rFonts w:ascii="Arial" w:hAnsi="Arial" w:cs="Arial"/>
                <w:sz w:val="18"/>
                <w:szCs w:val="18"/>
              </w:rPr>
              <w:t xml:space="preserve">и времето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за тяхното провеждане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се определя от преподавателя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. Те се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разяснява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т по време на лекциите и в другите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присъствени учебни форми 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ли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чрез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електронната поща.</w:t>
            </w:r>
          </w:p>
        </w:tc>
      </w:tr>
    </w:tbl>
    <w:p w:rsidR="00142D32" w:rsidRDefault="00E83BCE" w:rsidP="00A347E4">
      <w:pPr>
        <w:spacing w:after="120"/>
        <w:rPr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</w:p>
    <w:p w:rsidR="00142D32" w:rsidRDefault="00142D32" w:rsidP="00A347E4">
      <w:pPr>
        <w:spacing w:after="120"/>
        <w:rPr>
          <w:i/>
        </w:rPr>
      </w:pPr>
    </w:p>
    <w:p w:rsidR="00142D32" w:rsidRDefault="00142D32" w:rsidP="00A347E4">
      <w:pPr>
        <w:spacing w:after="120"/>
        <w:rPr>
          <w:i/>
        </w:rPr>
      </w:pPr>
    </w:p>
    <w:p w:rsidR="00A15E9B" w:rsidRDefault="00E83BCE" w:rsidP="00142D32">
      <w:pPr>
        <w:spacing w:after="120"/>
        <w:jc w:val="right"/>
        <w:rPr>
          <w:b/>
          <w:i/>
        </w:rPr>
      </w:pP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p w:rsidR="00DD1DDC" w:rsidRDefault="00DD1DDC" w:rsidP="00520D52">
      <w:pPr>
        <w:spacing w:after="120"/>
        <w:jc w:val="center"/>
        <w:rPr>
          <w:i/>
          <w:color w:val="FF0000"/>
          <w:sz w:val="22"/>
          <w:szCs w:val="22"/>
        </w:rPr>
      </w:pPr>
    </w:p>
    <w:p w:rsidR="00520D52" w:rsidRPr="00520D52" w:rsidRDefault="00520D52" w:rsidP="00520D52">
      <w:pPr>
        <w:spacing w:after="120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</w:t>
      </w:r>
      <w:r w:rsidR="00820D9F">
        <w:rPr>
          <w:i/>
          <w:color w:val="FF0000"/>
          <w:sz w:val="22"/>
          <w:szCs w:val="22"/>
        </w:rPr>
        <w:t>Номера на лекцията трябва да отговаря по учебната програма и наименованието да е в рамките на реда</w:t>
      </w:r>
      <w:r>
        <w:rPr>
          <w:i/>
          <w:color w:val="FF0000"/>
          <w:sz w:val="22"/>
          <w:szCs w:val="22"/>
        </w:rPr>
        <w:t>)</w:t>
      </w:r>
    </w:p>
    <w:p w:rsidR="00520D52" w:rsidRDefault="00520D52" w:rsidP="00520D52">
      <w:pPr>
        <w:spacing w:after="120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</w:t>
      </w:r>
      <w:r w:rsidRPr="00520D52">
        <w:rPr>
          <w:i/>
          <w:color w:val="FF0000"/>
          <w:sz w:val="22"/>
          <w:szCs w:val="22"/>
        </w:rPr>
        <w:t>За всяка от лекциите поставете по няколко реда (8-10) като резюме на материала към нея</w:t>
      </w:r>
      <w:r>
        <w:rPr>
          <w:i/>
          <w:color w:val="FF0000"/>
          <w:sz w:val="22"/>
          <w:szCs w:val="22"/>
        </w:rPr>
        <w:t>)</w:t>
      </w:r>
    </w:p>
    <w:p w:rsidR="00820D9F" w:rsidRDefault="00820D9F" w:rsidP="00820D9F">
      <w:pPr>
        <w:spacing w:after="120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(Материалите към лекциите се представят във файл, формат </w:t>
      </w:r>
      <w:proofErr w:type="spellStart"/>
      <w:r>
        <w:rPr>
          <w:i/>
          <w:color w:val="FF0000"/>
          <w:sz w:val="22"/>
          <w:szCs w:val="22"/>
          <w:lang w:val="en-US"/>
        </w:rPr>
        <w:t>ppt</w:t>
      </w:r>
      <w:proofErr w:type="spellEnd"/>
      <w:r w:rsidRPr="00BD2061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или </w:t>
      </w:r>
      <w:r>
        <w:rPr>
          <w:i/>
          <w:color w:val="FF0000"/>
          <w:sz w:val="22"/>
          <w:szCs w:val="22"/>
          <w:lang w:val="en-US"/>
        </w:rPr>
        <w:t>doc</w:t>
      </w:r>
      <w:r>
        <w:rPr>
          <w:i/>
          <w:color w:val="FF0000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135D14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A15E9B" w:rsidRPr="00135D14" w:rsidRDefault="00F139C7" w:rsidP="00A2401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 1</w:t>
            </w:r>
            <w:r w:rsidR="00A15E9B"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A27FD2"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Здравната система и необходимост от правно регулиране</w:t>
            </w:r>
            <w:r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A15E9B" w:rsidRPr="00135D14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30998" w:rsidRPr="00135D14" w:rsidRDefault="00A27FD2" w:rsidP="00A27FD2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F139C7" w:rsidRPr="00135D14">
              <w:rPr>
                <w:rFonts w:ascii="Arial" w:hAnsi="Arial" w:cs="Arial"/>
                <w:color w:val="000000"/>
                <w:sz w:val="18"/>
                <w:szCs w:val="18"/>
              </w:rPr>
              <w:t>първата лекция се представя</w:t>
            </w:r>
            <w:r w:rsidRPr="00135D14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F139C7"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35D14">
              <w:rPr>
                <w:rFonts w:ascii="Arial" w:hAnsi="Arial" w:cs="Arial"/>
                <w:color w:val="000000"/>
                <w:sz w:val="18"/>
                <w:szCs w:val="18"/>
              </w:rPr>
              <w:t>основните о</w:t>
            </w:r>
            <w:r w:rsidRPr="00135D14">
              <w:rPr>
                <w:rFonts w:ascii="Arial" w:hAnsi="Arial" w:cs="Arial"/>
                <w:bCs/>
                <w:sz w:val="18"/>
                <w:szCs w:val="18"/>
              </w:rPr>
              <w:t xml:space="preserve">пределения на здравната система като социална система на основата на Доклада на Генералния Директор на СЗО :Здравните системи – качество и справедливост“. Анализират се три фундаментални цели и четири основни функции на здравните системи. Отделено е внимание на еволюцията на здравните системи и на трите поколения реформи. В детайли се разглежда концепцията на СЗО за оценка на здравните системи като се поставя акцент върху основните индикатори и на цялостната оценка на здравната система, опираща се на съпоставяне на цялостните постижения на </w:t>
            </w:r>
            <w:r w:rsidR="00D30998" w:rsidRPr="00135D14">
              <w:rPr>
                <w:rFonts w:ascii="Arial" w:hAnsi="Arial" w:cs="Arial"/>
                <w:bCs/>
                <w:sz w:val="18"/>
                <w:szCs w:val="18"/>
              </w:rPr>
              <w:t xml:space="preserve">система и вложените за постигането на тези резултати ресурси. </w:t>
            </w:r>
          </w:p>
          <w:p w:rsidR="00A27FD2" w:rsidRPr="00135D14" w:rsidRDefault="00A27FD2" w:rsidP="00A27FD2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35D1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A15E9B" w:rsidRPr="00135D14" w:rsidRDefault="00BD2061" w:rsidP="00D30998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5D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1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10"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731B10" w:rsidRPr="00135D14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</w:t>
            </w:r>
            <w:r w:rsidR="00A620F6" w:rsidRPr="00135D14">
              <w:rPr>
                <w:rFonts w:ascii="Arial" w:hAnsi="Arial" w:cs="Arial"/>
                <w:color w:val="000080"/>
                <w:sz w:val="16"/>
                <w:szCs w:val="16"/>
              </w:rPr>
              <w:t>лекция № 1</w:t>
            </w:r>
            <w:r w:rsidR="00731B10" w:rsidRPr="00135D14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="00073663" w:rsidRPr="00135D14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135D14">
              <w:rPr>
                <w:rFonts w:ascii="Arial" w:hAnsi="Arial" w:cs="Arial"/>
                <w:sz w:val="16"/>
                <w:szCs w:val="16"/>
              </w:rPr>
              <w:t>(Файл pr1.pptx)</w:t>
            </w:r>
            <w:r w:rsidR="00A620F6"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002FC" w:rsidRPr="00135D14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002FC" w:rsidRPr="00135D14" w:rsidRDefault="007A5CBD" w:rsidP="003E606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2: </w:t>
            </w:r>
            <w:r w:rsidR="00D30998"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Здравна служба</w:t>
            </w:r>
          </w:p>
        </w:tc>
      </w:tr>
      <w:tr w:rsidR="004002FC" w:rsidRPr="00135D14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30998" w:rsidRPr="00135D14" w:rsidRDefault="004D25D4" w:rsidP="00D30998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тази лекция се </w:t>
            </w:r>
            <w:r w:rsidR="00D30998" w:rsidRPr="00135D14">
              <w:rPr>
                <w:rFonts w:ascii="Arial" w:hAnsi="Arial" w:cs="Arial"/>
                <w:color w:val="000000"/>
                <w:sz w:val="18"/>
                <w:szCs w:val="18"/>
              </w:rPr>
              <w:t>разглеждат две основни определе</w:t>
            </w:r>
            <w:r w:rsidR="00D30998" w:rsidRPr="00135D14">
              <w:rPr>
                <w:rFonts w:ascii="Arial" w:hAnsi="Arial" w:cs="Arial"/>
                <w:sz w:val="18"/>
                <w:szCs w:val="18"/>
              </w:rPr>
              <w:t xml:space="preserve">ния на понятието „здравна служба“: като система от здравни заведения и здравни органи и определени от гледна точка на системния подход. Посочват се здравните органи. На национално, областно и общинско ниво, Дава се подробна характеристика и конкретни примери за здравни заведения с делим и неделим ефект. Анализират се подробно факторите за развитието на здравната служба: медицински и немедицински фактори с акцент върху определящата роля на нивото и тенденциите на обществено </w:t>
            </w:r>
            <w:r w:rsidR="00D30998" w:rsidRPr="00135D14">
              <w:rPr>
                <w:rFonts w:ascii="Arial" w:hAnsi="Arial" w:cs="Arial"/>
                <w:sz w:val="18"/>
                <w:szCs w:val="18"/>
              </w:rPr>
              <w:lastRenderedPageBreak/>
              <w:t xml:space="preserve">здраве и социално-икономическите фактори. Сред основните принципи на изграждането на здравната </w:t>
            </w:r>
            <w:proofErr w:type="spellStart"/>
            <w:r w:rsidR="00D30998" w:rsidRPr="00135D14">
              <w:rPr>
                <w:rFonts w:ascii="Arial" w:hAnsi="Arial" w:cs="Arial"/>
                <w:sz w:val="18"/>
                <w:szCs w:val="18"/>
              </w:rPr>
              <w:t>служба.се</w:t>
            </w:r>
            <w:proofErr w:type="spellEnd"/>
            <w:r w:rsidR="00D30998" w:rsidRPr="00135D14">
              <w:rPr>
                <w:rFonts w:ascii="Arial" w:hAnsi="Arial" w:cs="Arial"/>
                <w:sz w:val="18"/>
                <w:szCs w:val="18"/>
              </w:rPr>
              <w:t xml:space="preserve"> отделя специално внимание на пирамидалния строеж на здравната служба и ролята на първичната здравна помощ за ефективното функциониране на здравната служба като цяло. </w:t>
            </w:r>
          </w:p>
          <w:p w:rsidR="00D30998" w:rsidRPr="00135D14" w:rsidRDefault="00D30998" w:rsidP="009E0D4A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2FC" w:rsidRPr="00135D14" w:rsidRDefault="00BD2061" w:rsidP="00D30998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6"/>
                <w:szCs w:val="16"/>
              </w:rPr>
            </w:pPr>
            <w:r w:rsidRPr="00135D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22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D4A"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E0D4A" w:rsidRPr="00135D14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2 ...</w:t>
            </w:r>
            <w:r w:rsidR="00073663" w:rsidRPr="00135D14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135D14">
              <w:rPr>
                <w:rFonts w:ascii="Arial" w:hAnsi="Arial" w:cs="Arial"/>
                <w:sz w:val="16"/>
                <w:szCs w:val="16"/>
              </w:rPr>
              <w:t>(Файл pr2.pptx)</w:t>
            </w:r>
          </w:p>
        </w:tc>
      </w:tr>
      <w:tr w:rsidR="00D76762" w:rsidRPr="00135D14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76762" w:rsidRPr="00135D14" w:rsidRDefault="005479F4" w:rsidP="00933A6F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Лекция № 3:</w:t>
            </w:r>
            <w:r w:rsidR="00933A6F"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Основни насоки на здравната реформа в България</w:t>
            </w:r>
            <w:r w:rsidR="00103BA2" w:rsidRPr="00135D1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D76762" w:rsidRPr="00135D14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933A6F" w:rsidRPr="00135D14" w:rsidRDefault="00933A6F" w:rsidP="00933A6F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35D14">
              <w:rPr>
                <w:rFonts w:ascii="Arial" w:hAnsi="Arial" w:cs="Arial"/>
                <w:bCs/>
                <w:sz w:val="18"/>
                <w:szCs w:val="18"/>
              </w:rPr>
              <w:t>В тази лекция се разглеждат основните причини за извършване на реформа в българското здравеопазване. Формулирани са дългосрочните и краткосрочни цели на реформата и основните принципи, на които тя следва да се опира. Анализират се основните направление на финансовата реформа с преминаване към нов модел на финансиране на здравните дейности. Посочват се основните направления на структурната реформа: реформата превантивната дейност, в първичната здравна помощ, в диагностично-консултативната помощ, в болничната помощ. Направена е обобщена характеристика на  основните направления в лечебната дейност.</w:t>
            </w:r>
          </w:p>
          <w:p w:rsidR="00933A6F" w:rsidRPr="00135D14" w:rsidRDefault="00933A6F" w:rsidP="0090257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03BA2" w:rsidRPr="00135D14" w:rsidRDefault="00103BA2" w:rsidP="00103BA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6762" w:rsidRPr="00135D14" w:rsidRDefault="00BD2061" w:rsidP="00933A6F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5D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2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2570"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02570" w:rsidRPr="00135D14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3 ...</w:t>
            </w:r>
            <w:r w:rsidR="00073663" w:rsidRPr="00135D14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135D14">
              <w:rPr>
                <w:rFonts w:ascii="Arial" w:hAnsi="Arial" w:cs="Arial"/>
                <w:sz w:val="16"/>
                <w:szCs w:val="16"/>
              </w:rPr>
              <w:t>(Файл pr3.pptx)</w:t>
            </w:r>
            <w:r w:rsidR="00902570"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7E018E" w:rsidRPr="00135D14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7E018E" w:rsidRPr="00135D14" w:rsidRDefault="0038466D" w:rsidP="000730CE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4: </w:t>
            </w:r>
            <w:r w:rsidR="00DD4F46"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Развитие на здравното законодателство в България</w:t>
            </w:r>
            <w:r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7E018E" w:rsidRPr="00135D14" w:rsidTr="009865D8">
        <w:trPr>
          <w:trHeight w:val="4602"/>
          <w:jc w:val="center"/>
        </w:trPr>
        <w:tc>
          <w:tcPr>
            <w:tcW w:w="10188" w:type="dxa"/>
            <w:shd w:val="clear" w:color="auto" w:fill="auto"/>
          </w:tcPr>
          <w:p w:rsidR="00DD4F46" w:rsidRPr="00135D14" w:rsidRDefault="00385D94" w:rsidP="00385D94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В четвъртата лекция учебното съдържание е посветено на </w:t>
            </w:r>
            <w:r w:rsidR="00DD4F46" w:rsidRPr="00135D14">
              <w:rPr>
                <w:rFonts w:ascii="Arial" w:hAnsi="Arial" w:cs="Arial"/>
                <w:sz w:val="18"/>
                <w:szCs w:val="18"/>
              </w:rPr>
              <w:t xml:space="preserve">характеристика на основните етапи </w:t>
            </w:r>
            <w:r w:rsidRPr="00135D14">
              <w:rPr>
                <w:rFonts w:ascii="Arial" w:hAnsi="Arial" w:cs="Arial"/>
                <w:sz w:val="18"/>
                <w:szCs w:val="18"/>
              </w:rPr>
              <w:t xml:space="preserve">в развитието на здравеопазването и здравното законодателство в България след 1978 г. Изведени са основните моменти в </w:t>
            </w:r>
            <w:r w:rsidRPr="00135D14">
              <w:rPr>
                <w:rFonts w:ascii="Arial" w:hAnsi="Arial" w:cs="Arial"/>
                <w:bCs/>
                <w:sz w:val="18"/>
                <w:szCs w:val="18"/>
              </w:rPr>
              <w:t xml:space="preserve">характеристиката на 7-те етапа. Подчертана в ролята на д-р Димитър Моллов като основоположник на общественото здравеопазване и здравно законодателство. Отделено е внимание на ролята на Българския лекарски съюз и другите професионални организация за укрепване на общественото здравеопазване у нас. Специално е подчертана ролята на първия устройствен закон „Закон за опазване на общественото здраве“, приет през 1903 г. и последвалите го медико-социални закони в периода 1905-1907 г. Разгледана е ролята на втория устройствен закон „Закон за народното здраве“ от 1020 г. и на приетия през 1940 г. на 25-я събор на Българския лекарски съюз „Проект за държавен здравен план“, който става платформа за действие на първото Министерство на здравеопазването. В </w:t>
            </w:r>
            <w:r w:rsidR="005241B7" w:rsidRPr="00135D14">
              <w:rPr>
                <w:rFonts w:ascii="Arial" w:hAnsi="Arial" w:cs="Arial"/>
                <w:bCs/>
                <w:sz w:val="18"/>
                <w:szCs w:val="18"/>
              </w:rPr>
              <w:t xml:space="preserve">критичен аспект </w:t>
            </w:r>
            <w:r w:rsidRPr="00135D14">
              <w:rPr>
                <w:rFonts w:ascii="Arial" w:hAnsi="Arial" w:cs="Arial"/>
                <w:bCs/>
                <w:sz w:val="18"/>
                <w:szCs w:val="18"/>
              </w:rPr>
              <w:t>са разг</w:t>
            </w:r>
            <w:r w:rsidR="005241B7" w:rsidRPr="00135D14"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Pr="00135D14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="005241B7" w:rsidRPr="00135D14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 w:rsidRPr="00135D14">
              <w:rPr>
                <w:rFonts w:ascii="Arial" w:hAnsi="Arial" w:cs="Arial"/>
                <w:bCs/>
                <w:sz w:val="18"/>
                <w:szCs w:val="18"/>
              </w:rPr>
              <w:t xml:space="preserve">ани </w:t>
            </w:r>
            <w:r w:rsidR="005241B7" w:rsidRPr="00135D14">
              <w:rPr>
                <w:rFonts w:ascii="Arial" w:hAnsi="Arial" w:cs="Arial"/>
                <w:bCs/>
                <w:sz w:val="18"/>
                <w:szCs w:val="18"/>
              </w:rPr>
              <w:t xml:space="preserve">положителните страни и недостатъците на шестия период в развитието на българското здравеопазване. </w:t>
            </w:r>
            <w:r w:rsidRPr="00135D14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DD4F46" w:rsidRPr="00135D14" w:rsidRDefault="00DD4F46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346" w:rsidRPr="00135D14" w:rsidRDefault="00983346" w:rsidP="00D6205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18E" w:rsidRPr="00135D14" w:rsidRDefault="00BD2061" w:rsidP="005241B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5D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31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5D8"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865D8" w:rsidRPr="00135D14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4 ...</w:t>
            </w:r>
            <w:r w:rsidR="00073663" w:rsidRPr="00135D14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135D14">
              <w:rPr>
                <w:rFonts w:ascii="Arial" w:hAnsi="Arial" w:cs="Arial"/>
                <w:sz w:val="16"/>
                <w:szCs w:val="16"/>
              </w:rPr>
              <w:t>(Файл pr4.pptx)</w:t>
            </w:r>
          </w:p>
        </w:tc>
      </w:tr>
      <w:tr w:rsidR="000730CE" w:rsidRPr="00135D14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CE" w:rsidRPr="00135D14" w:rsidRDefault="009865D8" w:rsidP="005241B7">
            <w:pPr>
              <w:pStyle w:val="NormalWeb"/>
              <w:shd w:val="clear" w:color="auto" w:fill="FFFFFF"/>
              <w:spacing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№ 5:</w:t>
            </w:r>
            <w:r w:rsidR="005241B7" w:rsidRPr="00135D1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Същност на здравното законодателство.</w:t>
            </w:r>
          </w:p>
        </w:tc>
      </w:tr>
      <w:tr w:rsidR="000730CE" w:rsidRPr="00135D14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B7" w:rsidRPr="00135D14" w:rsidRDefault="005241B7" w:rsidP="005241B7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135D14">
              <w:rPr>
                <w:rFonts w:ascii="Arial" w:hAnsi="Arial" w:cs="Arial"/>
                <w:sz w:val="18"/>
                <w:szCs w:val="18"/>
              </w:rPr>
              <w:t xml:space="preserve">Тази лекция заема основно място в лекционния курс по дисциплината «Здравно законодателство». Разглежда се </w:t>
            </w:r>
            <w:r w:rsidRPr="00135D14">
              <w:rPr>
                <w:rFonts w:ascii="Arial" w:hAnsi="Arial" w:cs="Arial"/>
                <w:bCs/>
                <w:sz w:val="18"/>
                <w:szCs w:val="18"/>
              </w:rPr>
              <w:t xml:space="preserve"> сходството и различието между правни и </w:t>
            </w:r>
            <w:proofErr w:type="spellStart"/>
            <w:r w:rsidRPr="00135D14">
              <w:rPr>
                <w:rFonts w:ascii="Arial" w:hAnsi="Arial" w:cs="Arial"/>
                <w:bCs/>
                <w:sz w:val="18"/>
                <w:szCs w:val="18"/>
              </w:rPr>
              <w:t>деонтологични</w:t>
            </w:r>
            <w:proofErr w:type="spellEnd"/>
            <w:r w:rsidRPr="00135D14">
              <w:rPr>
                <w:rFonts w:ascii="Arial" w:hAnsi="Arial" w:cs="Arial"/>
                <w:bCs/>
                <w:sz w:val="18"/>
                <w:szCs w:val="18"/>
              </w:rPr>
              <w:t xml:space="preserve"> норми. След представяне на същността на понятието „здравно законодателство“ се анализират организационната и защитна функция на здравното законодателство и двата основни принципа на здравното законодателство - правото на медицинска помощ и право на лична свобода и решение и тяхното отражение в международни актове. Законодателна, изпълнителна и съдебна власт. Отражение на основните принципи на здравното законодателство в Конституцията на Р България. Характеристика на чл. 52 и други членове от гл. 2, свързани с опазването на здравето. Основно място в лекцията заема класификацията и характеристиката на законовите и подзаконови нормативни актове. Как един законопроект става закон. Основни принципи при издаването на нормативните актове.</w:t>
            </w:r>
          </w:p>
          <w:p w:rsidR="005241B7" w:rsidRPr="00135D14" w:rsidRDefault="005241B7" w:rsidP="005241B7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30CE" w:rsidRPr="00135D14" w:rsidRDefault="00BD2061" w:rsidP="005241B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5D1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874077B" wp14:editId="064FBABA">
                  <wp:extent cx="114300" cy="114300"/>
                  <wp:effectExtent l="0" t="0" r="0" b="0"/>
                  <wp:docPr id="3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1B2" w:rsidRPr="00135D1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E61B2" w:rsidRPr="00135D14">
              <w:rPr>
                <w:rFonts w:ascii="Arial" w:hAnsi="Arial" w:cs="Arial"/>
                <w:color w:val="000080"/>
                <w:sz w:val="16"/>
                <w:szCs w:val="16"/>
              </w:rPr>
              <w:t>Презентация към лекция № 5...</w:t>
            </w:r>
            <w:r w:rsidR="00073663" w:rsidRPr="00135D14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135D14">
              <w:rPr>
                <w:rFonts w:ascii="Arial" w:hAnsi="Arial" w:cs="Arial"/>
                <w:sz w:val="16"/>
                <w:szCs w:val="16"/>
              </w:rPr>
              <w:t>(Файл pr5.pptx)</w:t>
            </w:r>
          </w:p>
          <w:p w:rsidR="000730CE" w:rsidRPr="00135D14" w:rsidRDefault="000730CE" w:rsidP="000730CE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30CE" w:rsidRPr="00135D14" w:rsidRDefault="000730CE" w:rsidP="00D66BD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5319" w:rsidRPr="00135D14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BA5319" w:rsidRPr="00135D14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135D14" w:rsidRDefault="002E61B2" w:rsidP="005241B7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№ 6: </w:t>
                  </w:r>
                  <w:r w:rsidR="005241B7"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Закон за здравето.</w:t>
                  </w:r>
                </w:p>
              </w:tc>
            </w:tr>
            <w:tr w:rsidR="00BA5319" w:rsidRPr="00135D14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5241B7" w:rsidRPr="00135D14" w:rsidRDefault="005241B7" w:rsidP="005241B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4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>Шестата лекция е посветена на устройствения закон - Закон за здравето и на нея е заделено най-</w:t>
                  </w:r>
                  <w:r w:rsidR="003038EF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много време в лекционния курс. Разглеждат се подробно 7-те основни глави на Закона на здравето със съответните им раздели: 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>Национална система за здравеопазване и дейности по опазване на здравето</w:t>
                  </w:r>
                  <w:r w:rsidR="003038EF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>Държавен здравен контрол. Медицинско обслужване</w:t>
                  </w:r>
                  <w:r w:rsidR="003038EF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>Здравна закрила на определени групи от населението</w:t>
                  </w:r>
                  <w:r w:rsidR="003038EF" w:rsidRPr="00135D14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 Психично здраве</w:t>
                  </w:r>
                  <w:r w:rsidR="003038EF" w:rsidRPr="00135D14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 Неконвенционални методи за въздействие върху индивидуалното здраве</w:t>
                  </w:r>
                  <w:r w:rsidR="003038EF" w:rsidRPr="00135D14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 Медицинско образование. Медицинска професия. Медицинска наука.</w:t>
                  </w:r>
                  <w:r w:rsidR="00135D14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038EF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Очертани са новите раздели и положения, които за пръв път залягат в закон от такъв ранг. Осмата глава е посветена на административно-наказателните разпоредби и е оставена за самостоятелно изучаване от студентите. </w:t>
                  </w:r>
                </w:p>
                <w:p w:rsidR="00AD63C6" w:rsidRPr="00135D14" w:rsidRDefault="00AD63C6" w:rsidP="00AD63C6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D82144" w:rsidRPr="00135D14" w:rsidRDefault="00D82144" w:rsidP="00AC76B9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3C2CD2" w:rsidRPr="00135D14" w:rsidRDefault="00BD2061" w:rsidP="003C2CD2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135D14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114300" cy="114300"/>
                        <wp:effectExtent l="0" t="0" r="0" b="0"/>
                        <wp:docPr id="39" name="irc_mi" descr="pdf-256_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pdf-256_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C2CD2"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C2CD2" w:rsidRPr="00135D14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6...</w:t>
                  </w:r>
                  <w:r w:rsidR="00073663" w:rsidRPr="00135D14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135D14">
                    <w:rPr>
                      <w:rFonts w:ascii="Arial" w:hAnsi="Arial" w:cs="Arial"/>
                      <w:sz w:val="16"/>
                      <w:szCs w:val="16"/>
                    </w:rPr>
                    <w:t>(Файл pr6.pptx)</w:t>
                  </w:r>
                </w:p>
                <w:p w:rsidR="00612864" w:rsidRPr="00135D14" w:rsidRDefault="003C2CD2" w:rsidP="00612864">
                  <w:pPr>
                    <w:pStyle w:val="NormalWeb"/>
                    <w:shd w:val="clear" w:color="auto" w:fill="FFFFFF"/>
                    <w:spacing w:after="24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BA5319" w:rsidRPr="00135D14" w:rsidRDefault="00BA5319" w:rsidP="003C2CD2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BA5319" w:rsidRPr="00135D14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135D14" w:rsidRDefault="00D82144" w:rsidP="009C6220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lastRenderedPageBreak/>
                    <w:t>Лекция 7</w:t>
                  </w:r>
                  <w:r w:rsidR="00BA5319"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: </w:t>
                  </w:r>
                  <w:r w:rsidR="003038EF"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Закон за здравното осигуряване</w:t>
                  </w:r>
                  <w:r w:rsidR="009A47C2"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BA5319" w:rsidRPr="00135D14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3038EF" w:rsidRPr="00135D14" w:rsidRDefault="003038EF" w:rsidP="003038E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4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 седмата лекция от настоящия курс са изяснени общите принципи</w:t>
                  </w:r>
                  <w:r w:rsidRPr="00135D1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на з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адължителното и доброволното здравно осигуряване. Разгледана е 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 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>структурата и ръководните органи на Националната здравноосигурителна каса и функциите на Надзорни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>я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 съвет и Директора на НЗОК. Анализирани са правата и задълженията на здравноосигурените лица и начина на формиране на здравноосигурителните вноски. Очертана е функцията на Националния рамков договор и начина на  подготвяне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>то и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 приемане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то на двата вида договори – НРД за медицински дейности и НРД за дентални дейности. </w:t>
                  </w:r>
                  <w:r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Договор между НЗОК и изпълнителите на медицинска помощ. 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В по-кратък обем е представено доброволното здравно осигуряване. </w:t>
                  </w:r>
                </w:p>
                <w:p w:rsidR="0078293B" w:rsidRPr="00135D14" w:rsidRDefault="0078293B" w:rsidP="009A6CE2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D2E01" w:rsidRPr="00135D14" w:rsidRDefault="00BD2E01" w:rsidP="00D725C8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612864" w:rsidRPr="00135D14" w:rsidRDefault="00BD2061" w:rsidP="0078293B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3366"/>
                      <w:sz w:val="16"/>
                      <w:szCs w:val="16"/>
                    </w:rPr>
                  </w:pPr>
                  <w:r w:rsidRPr="00135D14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 wp14:anchorId="1DBB23E5" wp14:editId="2F5CC123">
                        <wp:extent cx="114300" cy="114300"/>
                        <wp:effectExtent l="0" t="0" r="0" b="0"/>
                        <wp:docPr id="44" name="irc_mi" descr="pdf-256_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pdf-256_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24CEB"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224CEB" w:rsidRPr="00135D14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7...</w:t>
                  </w:r>
                  <w:r w:rsidR="00073663" w:rsidRPr="00135D14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135D14">
                    <w:rPr>
                      <w:rFonts w:ascii="Arial" w:hAnsi="Arial" w:cs="Arial"/>
                      <w:sz w:val="16"/>
                      <w:szCs w:val="16"/>
                    </w:rPr>
                    <w:t>(Файл pr7.pptx)</w:t>
                  </w:r>
                  <w:r w:rsidR="00224CEB"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BA5319" w:rsidRPr="00135D14" w:rsidRDefault="00BA5319" w:rsidP="009C6220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BA5319" w:rsidRPr="00135D14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BA5319" w:rsidRPr="00135D14" w:rsidRDefault="00E27A18" w:rsidP="009C6220">
                  <w:pPr>
                    <w:pStyle w:val="NormalWeb"/>
                    <w:shd w:val="clear" w:color="auto" w:fill="FFFFFF"/>
                    <w:spacing w:line="132" w:lineRule="atLeast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Лекция 8: </w:t>
                  </w:r>
                  <w:r w:rsidR="0078293B"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Закон за лечебните заведения</w:t>
                  </w:r>
                  <w:r w:rsidRPr="00135D1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</w:p>
              </w:tc>
            </w:tr>
            <w:tr w:rsidR="00BA5319" w:rsidRPr="00135D14" w:rsidTr="006D4586">
              <w:trPr>
                <w:jc w:val="center"/>
              </w:trPr>
              <w:tc>
                <w:tcPr>
                  <w:tcW w:w="10188" w:type="dxa"/>
                  <w:shd w:val="clear" w:color="auto" w:fill="auto"/>
                </w:tcPr>
                <w:p w:rsidR="0078293B" w:rsidRPr="00135D14" w:rsidRDefault="00BA5319" w:rsidP="0078293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240"/>
                    <w:jc w:val="both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r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В съдържанието на </w:t>
                  </w:r>
                  <w:r w:rsidR="00E27A18"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осма лекция се разглеждат </w:t>
                  </w:r>
                  <w:r w:rsidR="0078293B"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ласификацията и характеристиката на лечебните заведения за извънболнична и болнична помощ. </w:t>
                  </w:r>
                  <w:r w:rsidR="00E61575" w:rsidRPr="00135D14">
                    <w:rPr>
                      <w:rFonts w:ascii="Arial" w:hAnsi="Arial" w:cs="Arial"/>
                      <w:sz w:val="18"/>
                      <w:szCs w:val="18"/>
                    </w:rPr>
                    <w:t>Да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>дено е определение на всеки вид лече</w:t>
                  </w:r>
                  <w:r w:rsidR="00E61575" w:rsidRPr="00135D14">
                    <w:rPr>
                      <w:rFonts w:ascii="Arial" w:hAnsi="Arial" w:cs="Arial"/>
                      <w:sz w:val="18"/>
                      <w:szCs w:val="18"/>
                    </w:rPr>
                    <w:t>бн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>о заведение и основните изисквания за неговото разкриване. Отделено е специално внимание на лечебни</w:t>
                  </w:r>
                  <w:r w:rsidR="00E61575" w:rsidRPr="00135D14">
                    <w:rPr>
                      <w:rFonts w:ascii="Arial" w:hAnsi="Arial" w:cs="Arial"/>
                      <w:sz w:val="18"/>
                      <w:szCs w:val="18"/>
                    </w:rPr>
                    <w:t>т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>е заведения, които се създават от държавата. Подчертана е същността на регистрационния принцип за изграждане на лечеб</w:t>
                  </w:r>
                  <w:r w:rsidR="00E61575" w:rsidRPr="00135D14"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 xml:space="preserve">и заведения за извънболнична помощ и на разрешителния принцип за започване на дейност на болничните заведения. Разглеждат се въпросите, свързани със структурата, управлението, персонала на лечебното заведение, </w:t>
                  </w:r>
                  <w:r w:rsidR="00E61575" w:rsidRPr="00135D14">
                    <w:rPr>
                      <w:rFonts w:ascii="Arial" w:hAnsi="Arial" w:cs="Arial"/>
                      <w:sz w:val="18"/>
                      <w:szCs w:val="18"/>
                    </w:rPr>
                    <w:t>съвещателните органи на медицинския директор и а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>кредитация</w:t>
                  </w:r>
                  <w:r w:rsidR="00E61575" w:rsidRPr="00135D14">
                    <w:rPr>
                      <w:rFonts w:ascii="Arial" w:hAnsi="Arial" w:cs="Arial"/>
                      <w:sz w:val="18"/>
                      <w:szCs w:val="18"/>
                    </w:rPr>
                    <w:t>та</w:t>
                  </w:r>
                  <w:r w:rsidR="0078293B" w:rsidRPr="00135D1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bookmarkEnd w:id="0"/>
                <w:p w:rsidR="0078293B" w:rsidRPr="00135D14" w:rsidRDefault="0078293B" w:rsidP="0054585D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54585D" w:rsidRPr="00135D14" w:rsidRDefault="00BD2061" w:rsidP="0054585D">
                  <w:pPr>
                    <w:pStyle w:val="NormalWeb"/>
                    <w:shd w:val="clear" w:color="auto" w:fill="FFFFFF"/>
                    <w:spacing w:before="0" w:beforeAutospacing="0" w:after="240" w:afterAutospacing="0" w:line="132" w:lineRule="atLeast"/>
                    <w:jc w:val="both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135D14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9" name="irc_mi" descr="pdf-256_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pdf-256_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4585D" w:rsidRPr="00135D1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54585D" w:rsidRPr="00135D14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Презентация към лекция № 8...</w:t>
                  </w:r>
                  <w:r w:rsidR="00073663" w:rsidRPr="00135D14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 </w:t>
                  </w:r>
                  <w:r w:rsidR="00073663" w:rsidRPr="00135D14">
                    <w:rPr>
                      <w:rFonts w:ascii="Arial" w:hAnsi="Arial" w:cs="Arial"/>
                      <w:sz w:val="16"/>
                      <w:szCs w:val="16"/>
                    </w:rPr>
                    <w:t>(Файл pr</w:t>
                  </w:r>
                  <w:r w:rsidR="00F27591" w:rsidRPr="00135D14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="00073663" w:rsidRPr="00135D14">
                    <w:rPr>
                      <w:rFonts w:ascii="Arial" w:hAnsi="Arial" w:cs="Arial"/>
                      <w:sz w:val="16"/>
                      <w:szCs w:val="16"/>
                    </w:rPr>
                    <w:t>.pptx)</w:t>
                  </w:r>
                </w:p>
                <w:p w:rsidR="00BA5319" w:rsidRPr="00135D14" w:rsidRDefault="00BA5319" w:rsidP="00612864">
                  <w:pPr>
                    <w:pStyle w:val="NormalWeb"/>
                    <w:shd w:val="clear" w:color="auto" w:fill="FFFFFF"/>
                    <w:spacing w:before="0" w:beforeAutospacing="0" w:after="0" w:afterAutospacing="0" w:line="132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A5319" w:rsidRPr="00135D14" w:rsidRDefault="00BA5319" w:rsidP="00D6205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649FF" w:rsidRPr="00923653" w:rsidRDefault="000649FF">
      <w:pPr>
        <w:rPr>
          <w:rFonts w:ascii="Arial" w:hAnsi="Arial" w:cs="Arial"/>
          <w:sz w:val="18"/>
          <w:szCs w:val="18"/>
        </w:rPr>
      </w:pPr>
    </w:p>
    <w:p w:rsidR="008E4975" w:rsidRPr="00923653" w:rsidRDefault="00B21DE5">
      <w:pPr>
        <w:rPr>
          <w:b/>
          <w:i/>
        </w:rPr>
      </w:pPr>
      <w:r w:rsidRPr="00923653">
        <w:rPr>
          <w:b/>
          <w:i/>
        </w:rPr>
        <w:tab/>
      </w:r>
      <w:r w:rsidR="008E4975" w:rsidRPr="00923653">
        <w:rPr>
          <w:b/>
          <w:i/>
        </w:rPr>
        <w:tab/>
      </w:r>
    </w:p>
    <w:p w:rsidR="008E4975" w:rsidRPr="00923653" w:rsidRDefault="008E4975">
      <w:pPr>
        <w:rPr>
          <w:b/>
          <w:i/>
        </w:rPr>
      </w:pPr>
      <w:r w:rsidRPr="00923653">
        <w:rPr>
          <w:b/>
          <w:i/>
        </w:rPr>
        <w:tab/>
      </w:r>
    </w:p>
    <w:p w:rsidR="00DD1DDC" w:rsidRDefault="00DD1DDC" w:rsidP="00DD1DDC">
      <w:pPr>
        <w:jc w:val="center"/>
        <w:rPr>
          <w:b/>
          <w:i/>
        </w:rPr>
      </w:pPr>
    </w:p>
    <w:p w:rsidR="00B21DE5" w:rsidRPr="00923653" w:rsidRDefault="00B21DE5" w:rsidP="00DD1DDC">
      <w:pPr>
        <w:jc w:val="center"/>
        <w:rPr>
          <w:rFonts w:ascii="Arial" w:hAnsi="Arial" w:cs="Arial"/>
          <w:sz w:val="18"/>
          <w:szCs w:val="18"/>
        </w:rPr>
      </w:pPr>
      <w:r w:rsidRPr="00923653">
        <w:rPr>
          <w:b/>
          <w:i/>
        </w:rPr>
        <w:t xml:space="preserve">Табл. </w:t>
      </w:r>
      <w:r w:rsidR="00F71480" w:rsidRPr="00923653">
        <w:rPr>
          <w:b/>
          <w:i/>
        </w:rPr>
        <w:t>3</w:t>
      </w:r>
      <w:r w:rsidRPr="00923653">
        <w:rPr>
          <w:b/>
          <w:i/>
        </w:rPr>
        <w:t>. Информация за</w:t>
      </w:r>
      <w:r w:rsidR="00F71480" w:rsidRPr="00923653">
        <w:rPr>
          <w:b/>
          <w:i/>
        </w:rPr>
        <w:t xml:space="preserve"> </w:t>
      </w:r>
      <w:r w:rsidR="00CD72EC" w:rsidRPr="00923653">
        <w:rPr>
          <w:b/>
          <w:i/>
        </w:rPr>
        <w:t>учебните задачи</w:t>
      </w:r>
      <w:r w:rsidR="00F71480" w:rsidRPr="00923653">
        <w:rPr>
          <w:b/>
          <w:i/>
        </w:rPr>
        <w:t xml:space="preserve"> (цели, указания, срокове и други)</w:t>
      </w:r>
    </w:p>
    <w:p w:rsidR="00DD1DDC" w:rsidRDefault="00DD1DDC" w:rsidP="00DD1DDC">
      <w:pPr>
        <w:spacing w:after="120"/>
        <w:jc w:val="center"/>
        <w:rPr>
          <w:i/>
          <w:color w:val="FF0000"/>
          <w:sz w:val="22"/>
          <w:szCs w:val="22"/>
        </w:rPr>
      </w:pPr>
    </w:p>
    <w:p w:rsidR="00DD1DDC" w:rsidRPr="00520D52" w:rsidRDefault="00612864" w:rsidP="00DD1DDC">
      <w:pPr>
        <w:spacing w:after="120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Не се предвиждат учебни задачи и курсови работи. </w:t>
      </w:r>
    </w:p>
    <w:p w:rsidR="00F70B2B" w:rsidRDefault="00F70B2B" w:rsidP="00F70B2B">
      <w:pPr>
        <w:jc w:val="both"/>
        <w:rPr>
          <w:sz w:val="22"/>
          <w:szCs w:val="22"/>
        </w:rPr>
      </w:pPr>
    </w:p>
    <w:p w:rsidR="007E4FB5" w:rsidRDefault="007E4FB5" w:rsidP="00F70B2B">
      <w:pPr>
        <w:jc w:val="both"/>
        <w:rPr>
          <w:sz w:val="22"/>
          <w:szCs w:val="22"/>
        </w:rPr>
      </w:pPr>
    </w:p>
    <w:p w:rsidR="007E4FB5" w:rsidRDefault="007E4FB5" w:rsidP="00F70B2B">
      <w:pPr>
        <w:jc w:val="both"/>
        <w:rPr>
          <w:sz w:val="22"/>
          <w:szCs w:val="22"/>
        </w:rPr>
      </w:pPr>
    </w:p>
    <w:p w:rsidR="007E4FB5" w:rsidRDefault="007E4FB5" w:rsidP="007E4FB5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 w:rsidR="003D0D39">
        <w:rPr>
          <w:b/>
          <w:i/>
        </w:rPr>
        <w:t>Скала за</w:t>
      </w:r>
      <w:r>
        <w:rPr>
          <w:b/>
          <w:i/>
        </w:rPr>
        <w:t xml:space="preserve"> оценяване </w:t>
      </w:r>
      <w:r w:rsidR="003D0D39">
        <w:rPr>
          <w:b/>
          <w:i/>
        </w:rPr>
        <w:t>на</w:t>
      </w:r>
      <w:r>
        <w:rPr>
          <w:b/>
          <w:i/>
        </w:rPr>
        <w:t xml:space="preserve"> тестовете по дисциплината</w:t>
      </w:r>
    </w:p>
    <w:p w:rsidR="00DD1DDC" w:rsidRDefault="00DD1DDC" w:rsidP="00DD1DDC">
      <w:pPr>
        <w:spacing w:after="120"/>
        <w:jc w:val="center"/>
        <w:rPr>
          <w:i/>
          <w:color w:val="FF0000"/>
          <w:sz w:val="22"/>
          <w:szCs w:val="22"/>
        </w:rPr>
      </w:pPr>
    </w:p>
    <w:p w:rsidR="00DD1DDC" w:rsidRPr="00520D52" w:rsidRDefault="00DD1DDC" w:rsidP="00DD1DDC">
      <w:pPr>
        <w:spacing w:after="120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(Таблицата се попълва, съгласно примера по-долу, ако се предвижда интегриране на тестове)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680F32" w:rsidRDefault="004D2C56" w:rsidP="004D2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Верни отговори </w:t>
            </w:r>
          </w:p>
        </w:tc>
        <w:tc>
          <w:tcPr>
            <w:tcW w:w="5244" w:type="dxa"/>
            <w:shd w:val="clear" w:color="auto" w:fill="auto"/>
          </w:tcPr>
          <w:p w:rsidR="007E4FB5" w:rsidRPr="00680F32" w:rsidRDefault="007E4FB5" w:rsidP="007E4FB5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A27FD2" w:rsidP="00A27FD2">
            <w:r>
              <w:t>28-30 верни отговора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6.00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A27FD2" w:rsidP="00A27FD2">
            <w:r>
              <w:t>24-27 верни отговора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5.00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4D2C56" w:rsidP="00A27FD2">
            <w:r>
              <w:t>20-</w:t>
            </w:r>
            <w:r w:rsidR="00A27FD2">
              <w:t>23 верни отговора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4.00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4D2C56" w:rsidP="004D2C56">
            <w:r>
              <w:t>18-19 верни отговора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3.00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4D2C56" w:rsidP="004D2C56">
            <w:r>
              <w:t xml:space="preserve">Под 18 т. </w:t>
            </w:r>
            <w:r w:rsidR="007E4FB5" w:rsidRPr="003D0D39">
              <w:t xml:space="preserve">– </w:t>
            </w:r>
            <w:r>
              <w:t>под 60%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2.00</w:t>
            </w:r>
          </w:p>
        </w:tc>
      </w:tr>
    </w:tbl>
    <w:p w:rsidR="007E4FB5" w:rsidRDefault="007E4FB5" w:rsidP="007E4FB5">
      <w:pPr>
        <w:rPr>
          <w:b/>
          <w:i/>
        </w:rPr>
      </w:pPr>
    </w:p>
    <w:p w:rsidR="00DD1DDC" w:rsidRDefault="003D0D39" w:rsidP="003D0D39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</w:r>
    </w:p>
    <w:p w:rsidR="003D0D39" w:rsidRDefault="003D0D39" w:rsidP="00DD1DDC">
      <w:pPr>
        <w:jc w:val="center"/>
        <w:rPr>
          <w:b/>
          <w:i/>
        </w:rPr>
      </w:pPr>
      <w:r w:rsidRPr="00923653">
        <w:rPr>
          <w:b/>
          <w:i/>
        </w:rPr>
        <w:t xml:space="preserve">Табл. </w:t>
      </w:r>
      <w:r>
        <w:rPr>
          <w:b/>
          <w:i/>
        </w:rPr>
        <w:t>5</w:t>
      </w:r>
      <w:r w:rsidRPr="00923653">
        <w:rPr>
          <w:b/>
          <w:i/>
        </w:rPr>
        <w:t xml:space="preserve">. </w:t>
      </w:r>
      <w:r>
        <w:rPr>
          <w:b/>
          <w:i/>
        </w:rPr>
        <w:t>Съдържание на тестовете</w:t>
      </w:r>
    </w:p>
    <w:p w:rsidR="003D0D39" w:rsidRDefault="003D0D39" w:rsidP="003D0D39">
      <w:pPr>
        <w:rPr>
          <w:b/>
          <w:i/>
        </w:rPr>
      </w:pPr>
    </w:p>
    <w:p w:rsidR="00234899" w:rsidRDefault="00234899" w:rsidP="00234899">
      <w:pPr>
        <w:jc w:val="center"/>
        <w:rPr>
          <w:b/>
          <w:i/>
        </w:rPr>
      </w:pPr>
    </w:p>
    <w:p w:rsidR="00234899" w:rsidRDefault="00234899" w:rsidP="00234899">
      <w:pPr>
        <w:jc w:val="center"/>
        <w:rPr>
          <w:b/>
          <w:i/>
        </w:rPr>
      </w:pPr>
    </w:p>
    <w:p w:rsidR="00234899" w:rsidRDefault="00234899" w:rsidP="00234899">
      <w:pPr>
        <w:jc w:val="center"/>
        <w:rPr>
          <w:b/>
          <w:i/>
        </w:rPr>
      </w:pPr>
      <w:r w:rsidRPr="00923653">
        <w:rPr>
          <w:b/>
          <w:i/>
        </w:rPr>
        <w:t xml:space="preserve">Табл. </w:t>
      </w:r>
      <w:r>
        <w:rPr>
          <w:b/>
          <w:i/>
        </w:rPr>
        <w:t>6</w:t>
      </w:r>
      <w:r w:rsidRPr="00923653">
        <w:rPr>
          <w:b/>
          <w:i/>
        </w:rPr>
        <w:t xml:space="preserve">. </w:t>
      </w:r>
      <w:r>
        <w:rPr>
          <w:b/>
          <w:i/>
        </w:rPr>
        <w:t>Информация за специалността и обучението ще намерите ТУК</w:t>
      </w:r>
    </w:p>
    <w:p w:rsidR="003D0D39" w:rsidRDefault="003D0D39" w:rsidP="003D0D39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234899" w:rsidRPr="00234899" w:rsidTr="001A008B">
        <w:trPr>
          <w:jc w:val="center"/>
        </w:trPr>
        <w:tc>
          <w:tcPr>
            <w:tcW w:w="10188" w:type="dxa"/>
            <w:shd w:val="clear" w:color="auto" w:fill="auto"/>
          </w:tcPr>
          <w:p w:rsidR="00234899" w:rsidRPr="00234899" w:rsidRDefault="00234899" w:rsidP="0023489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4899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1. Информация за специалността</w:t>
            </w: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shd w:val="clear" w:color="auto" w:fill="auto"/>
          </w:tcPr>
          <w:p w:rsidR="00234899" w:rsidRPr="00234899" w:rsidRDefault="00234899" w:rsidP="0023489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34899" w:rsidRPr="00E804ED" w:rsidRDefault="00234899" w:rsidP="00234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4ED">
              <w:rPr>
                <w:rFonts w:ascii="Arial" w:hAnsi="Arial" w:cs="Arial"/>
                <w:sz w:val="22"/>
                <w:szCs w:val="22"/>
              </w:rPr>
              <w:t>Магистърска програма по "Обществено здраве и здравен мениджмънт"</w:t>
            </w:r>
          </w:p>
          <w:p w:rsidR="00234899" w:rsidRPr="00234899" w:rsidRDefault="00234899" w:rsidP="0023489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34899" w:rsidRPr="00234899" w:rsidRDefault="00234899" w:rsidP="0023489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4899">
              <w:rPr>
                <w:rFonts w:ascii="Arial" w:hAnsi="Arial" w:cs="Arial"/>
                <w:sz w:val="22"/>
                <w:szCs w:val="22"/>
              </w:rPr>
              <w:t>Дистанционната форма за обучение на студентите по тази магистърска програма е въведена за първи път от учебната 2013/2014 година и за тях е финансира изцяло по Оперативна програма "Управление на човешките ресурси", Проект  BG051PO001-4.3.04, РАЗВИТИЕ НА ЕЛЕКТРОННИ ФОРМИ НА ДИСТАНЦИОННО ОБУЧЕНИЕ В СИСТЕМАТА НА ВИСШЕТО ОБРАЗОВАНИЕ * ИНОВАТИВНО И СЪВРЕМЕННО ОБРАЗОВАНИЕ В МУ – ПЛЕВЕН *</w:t>
            </w: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4899">
              <w:rPr>
                <w:rFonts w:ascii="Arial" w:hAnsi="Arial" w:cs="Arial"/>
                <w:sz w:val="22"/>
                <w:szCs w:val="22"/>
              </w:rPr>
              <w:t>За учебната 2014/2015 година студентите са приети в задочна форма, като е предвидено изцяло използване ресурсите на разработената и внедрена по проекта Система за дистанционно обучение.</w:t>
            </w: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4899">
              <w:rPr>
                <w:rFonts w:ascii="Arial" w:hAnsi="Arial" w:cs="Arial"/>
                <w:sz w:val="22"/>
                <w:szCs w:val="22"/>
              </w:rPr>
              <w:t>За учебната 2016/2017 година, след получаване на редовна акредитация, студентите са приети в дистанционна форма на обучение, като се залага изцяло на учебните материали интегрирани в Система за дистанционно обучение.</w:t>
            </w: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4899">
              <w:rPr>
                <w:rFonts w:ascii="Arial" w:hAnsi="Arial" w:cs="Arial"/>
                <w:sz w:val="22"/>
                <w:szCs w:val="22"/>
              </w:rPr>
              <w:t>За обучение в вази магистърска програма се приемат кандидати след завършено висше образование на образователно-квалификационна степен "Магистър" по специалност "Медицина" или други специалности.</w:t>
            </w: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4899">
              <w:rPr>
                <w:rFonts w:ascii="Arial" w:hAnsi="Arial" w:cs="Arial"/>
                <w:sz w:val="22"/>
                <w:szCs w:val="22"/>
              </w:rPr>
              <w:t>Прием: държавна поръчка, задочно (дистанционно) обучение, по публикувани условия за кандидатстване.</w:t>
            </w: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4899">
              <w:rPr>
                <w:rFonts w:ascii="Arial" w:hAnsi="Arial" w:cs="Arial"/>
                <w:sz w:val="22"/>
                <w:szCs w:val="22"/>
              </w:rPr>
              <w:t>Продължителност на обучението: Година и половина (3 семестъра)</w:t>
            </w: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899" w:rsidRPr="00234899" w:rsidRDefault="00234899" w:rsidP="00234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4899">
              <w:rPr>
                <w:rFonts w:ascii="Arial" w:hAnsi="Arial" w:cs="Arial"/>
                <w:sz w:val="22"/>
                <w:szCs w:val="22"/>
              </w:rPr>
              <w:t>Конкурс: Базира се на комплексна оценка от Дипломата, Мотивационно писмо подготвено от кандидата и Интервю по предложени в обявата теми и въпросник към тях.</w:t>
            </w:r>
          </w:p>
          <w:p w:rsidR="00234899" w:rsidRPr="00234899" w:rsidRDefault="00234899" w:rsidP="002348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04ED" w:rsidRPr="00234899" w:rsidRDefault="00BD2061" w:rsidP="00E804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9060" cy="99060"/>
                  <wp:effectExtent l="0" t="0" r="0" b="0"/>
                  <wp:docPr id="53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4ED" w:rsidRPr="002348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804ED" w:rsidRPr="00234899">
              <w:rPr>
                <w:rFonts w:ascii="Arial" w:hAnsi="Arial" w:cs="Arial"/>
                <w:color w:val="0000FF"/>
                <w:sz w:val="22"/>
                <w:szCs w:val="22"/>
              </w:rPr>
              <w:t xml:space="preserve">Съдържание на анотацията... </w:t>
            </w:r>
            <w:r w:rsidR="00E804ED" w:rsidRPr="00234899">
              <w:rPr>
                <w:rFonts w:ascii="Arial" w:hAnsi="Arial" w:cs="Arial"/>
                <w:sz w:val="22"/>
                <w:szCs w:val="22"/>
              </w:rPr>
              <w:t>(Файл анотация.doc) – представете анотацията на файл</w:t>
            </w:r>
          </w:p>
          <w:p w:rsidR="00234899" w:rsidRPr="00234899" w:rsidRDefault="00234899" w:rsidP="001A00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shd w:val="clear" w:color="auto" w:fill="auto"/>
          </w:tcPr>
          <w:p w:rsidR="00234899" w:rsidRPr="00234899" w:rsidRDefault="00234899" w:rsidP="0023489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4899">
              <w:rPr>
                <w:rFonts w:ascii="Arial" w:hAnsi="Arial" w:cs="Arial"/>
                <w:b/>
                <w:color w:val="FF0000"/>
                <w:sz w:val="18"/>
                <w:szCs w:val="18"/>
              </w:rPr>
              <w:t>2. Квалификационна характеристика</w:t>
            </w: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shd w:val="clear" w:color="auto" w:fill="auto"/>
          </w:tcPr>
          <w:p w:rsidR="00234899" w:rsidRPr="00234899" w:rsidRDefault="00234899" w:rsidP="001A008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34899" w:rsidRDefault="00234899" w:rsidP="001A008B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3489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Квалификационната характеристика определя професионалното предназначение на специалиста с висше образование, чийто квалификационно наименование  е “Мениджър”. Тя е ориентирана към специалност “Обществено здраве и здравен мениджмънт” от професионално направление “Обществено здраве”. В този учебен документ се дефинират основните квалификационни изисквания, които следва да се постигнат чрез подготовката на обучаемите по тази специалност.</w:t>
            </w:r>
          </w:p>
          <w:p w:rsidR="00234899" w:rsidRDefault="00234899" w:rsidP="001A008B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E804ED" w:rsidRPr="00234899" w:rsidRDefault="00BD2061" w:rsidP="00E804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9060" cy="99060"/>
                  <wp:effectExtent l="0" t="0" r="0" b="0"/>
                  <wp:docPr id="54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4ED" w:rsidRPr="002348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804ED" w:rsidRPr="00234899">
              <w:rPr>
                <w:rFonts w:ascii="Arial" w:hAnsi="Arial" w:cs="Arial"/>
                <w:color w:val="0000FF"/>
                <w:sz w:val="22"/>
                <w:szCs w:val="22"/>
              </w:rPr>
              <w:t xml:space="preserve">Съдържание на </w:t>
            </w:r>
            <w:r w:rsidR="00E804ED">
              <w:rPr>
                <w:rFonts w:ascii="Arial" w:hAnsi="Arial" w:cs="Arial"/>
                <w:color w:val="0000FF"/>
                <w:sz w:val="22"/>
                <w:szCs w:val="22"/>
              </w:rPr>
              <w:t>квалификационната характеристика</w:t>
            </w:r>
            <w:r w:rsidR="00E804ED" w:rsidRPr="00234899">
              <w:rPr>
                <w:rFonts w:ascii="Arial" w:hAnsi="Arial" w:cs="Arial"/>
                <w:color w:val="0000FF"/>
                <w:sz w:val="22"/>
                <w:szCs w:val="22"/>
              </w:rPr>
              <w:t xml:space="preserve">... </w:t>
            </w:r>
            <w:r w:rsidR="00E804ED" w:rsidRPr="00234899">
              <w:rPr>
                <w:rFonts w:ascii="Arial" w:hAnsi="Arial" w:cs="Arial"/>
                <w:sz w:val="22"/>
                <w:szCs w:val="22"/>
              </w:rPr>
              <w:t xml:space="preserve">(Файл </w:t>
            </w:r>
            <w:r w:rsidR="00E804ED">
              <w:rPr>
                <w:rFonts w:ascii="Arial" w:hAnsi="Arial" w:cs="Arial"/>
                <w:sz w:val="22"/>
                <w:szCs w:val="22"/>
              </w:rPr>
              <w:t>кв.характеристика</w:t>
            </w:r>
            <w:r w:rsidR="00E804ED" w:rsidRPr="00234899">
              <w:rPr>
                <w:rFonts w:ascii="Arial" w:hAnsi="Arial" w:cs="Arial"/>
                <w:sz w:val="22"/>
                <w:szCs w:val="22"/>
              </w:rPr>
              <w:t>.doc) – представете файл</w:t>
            </w:r>
          </w:p>
          <w:p w:rsidR="00234899" w:rsidRPr="00234899" w:rsidRDefault="00234899" w:rsidP="001A008B">
            <w:pPr>
              <w:rPr>
                <w:rFonts w:ascii="Arial" w:hAnsi="Arial" w:cs="Arial"/>
                <w:i/>
                <w:color w:val="000080"/>
                <w:sz w:val="22"/>
                <w:szCs w:val="22"/>
              </w:rPr>
            </w:pP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shd w:val="clear" w:color="auto" w:fill="auto"/>
          </w:tcPr>
          <w:p w:rsidR="00234899" w:rsidRPr="00234899" w:rsidRDefault="00234899" w:rsidP="001A008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48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E804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Учебен план</w:t>
            </w: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shd w:val="clear" w:color="auto" w:fill="auto"/>
          </w:tcPr>
          <w:p w:rsidR="00234899" w:rsidRDefault="00E804ED" w:rsidP="001A0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4ED">
              <w:rPr>
                <w:rFonts w:ascii="Arial" w:hAnsi="Arial" w:cs="Arial"/>
                <w:sz w:val="22"/>
                <w:szCs w:val="22"/>
              </w:rPr>
              <w:t>Учебният план е основен документ за обучението по специалността. Той се разработва съобразно държавните изисквания за направлението от експертна комисия, назначена от Декана на Факултет "Обществено здраве"  по утвърдени от Академичния съвет структура и съдържание. Планът се приема от съвета на основното звено и се утвърждава от Академичния съвет. В него се посочва квалификационната характеристика на специалността, видът и срокът на обучение и образователно-квалификационната степен. Планът съдържа всички изучавани дисциплини – задължителни, избираеми и факултативни, броят на часовете за лекции и упражнения, формите на контрол и начина на провеждане на държавния изпит.</w:t>
            </w:r>
          </w:p>
          <w:p w:rsidR="00E804ED" w:rsidRPr="00E804ED" w:rsidRDefault="00E804ED" w:rsidP="001A00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34899" w:rsidRPr="00E804ED" w:rsidRDefault="00BD2061" w:rsidP="001A0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9060" cy="99060"/>
                  <wp:effectExtent l="0" t="0" r="0" b="0"/>
                  <wp:docPr id="5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4899" w:rsidRPr="00E804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804ED">
              <w:rPr>
                <w:rFonts w:ascii="Arial" w:hAnsi="Arial" w:cs="Arial"/>
                <w:color w:val="0000FF"/>
                <w:sz w:val="22"/>
                <w:szCs w:val="22"/>
              </w:rPr>
              <w:t>Съдържание на учебния</w:t>
            </w:r>
            <w:r w:rsidR="00234899" w:rsidRPr="00E804ED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E804ED">
              <w:rPr>
                <w:rFonts w:ascii="Arial" w:hAnsi="Arial" w:cs="Arial"/>
                <w:color w:val="0000FF"/>
                <w:sz w:val="22"/>
                <w:szCs w:val="22"/>
              </w:rPr>
              <w:t>план</w:t>
            </w:r>
            <w:r w:rsidR="00234899" w:rsidRPr="00E804ED">
              <w:rPr>
                <w:rFonts w:ascii="Arial" w:hAnsi="Arial" w:cs="Arial"/>
                <w:color w:val="0000FF"/>
                <w:sz w:val="22"/>
                <w:szCs w:val="22"/>
              </w:rPr>
              <w:t xml:space="preserve">... </w:t>
            </w:r>
            <w:r w:rsidR="00234899" w:rsidRPr="00E804ED">
              <w:rPr>
                <w:rFonts w:ascii="Arial" w:hAnsi="Arial" w:cs="Arial"/>
                <w:sz w:val="22"/>
                <w:szCs w:val="22"/>
              </w:rPr>
              <w:t>(Файл Up</w:t>
            </w:r>
            <w:proofErr w:type="spellStart"/>
            <w:r w:rsidR="00E804ED">
              <w:rPr>
                <w:rFonts w:ascii="Arial" w:hAnsi="Arial" w:cs="Arial"/>
                <w:sz w:val="22"/>
                <w:szCs w:val="22"/>
                <w:lang w:val="en-US"/>
              </w:rPr>
              <w:t>lan</w:t>
            </w:r>
            <w:proofErr w:type="spellEnd"/>
            <w:r w:rsidR="00E804ED" w:rsidRPr="00BD2061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234899" w:rsidRPr="00E804ED">
              <w:rPr>
                <w:rFonts w:ascii="Arial" w:hAnsi="Arial" w:cs="Arial"/>
                <w:sz w:val="22"/>
                <w:szCs w:val="22"/>
              </w:rPr>
              <w:t>doc</w:t>
            </w:r>
            <w:proofErr w:type="spellEnd"/>
            <w:r w:rsidR="00234899" w:rsidRPr="00E804ED">
              <w:rPr>
                <w:rFonts w:ascii="Arial" w:hAnsi="Arial" w:cs="Arial"/>
                <w:sz w:val="22"/>
                <w:szCs w:val="22"/>
              </w:rPr>
              <w:t>) – представете файл</w:t>
            </w:r>
          </w:p>
          <w:p w:rsidR="00234899" w:rsidRPr="00E804ED" w:rsidRDefault="00234899" w:rsidP="001A00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234899" w:rsidRPr="00234899" w:rsidRDefault="00234899" w:rsidP="001A00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shd w:val="clear" w:color="auto" w:fill="auto"/>
          </w:tcPr>
          <w:p w:rsidR="00234899" w:rsidRPr="00234899" w:rsidRDefault="00234899" w:rsidP="001A008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48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E804ED">
              <w:rPr>
                <w:rFonts w:ascii="Arial" w:hAnsi="Arial" w:cs="Arial"/>
                <w:b/>
                <w:color w:val="FF0000"/>
                <w:sz w:val="18"/>
                <w:szCs w:val="18"/>
              </w:rPr>
              <w:t>График на учебния процес</w:t>
            </w:r>
            <w:r w:rsidRPr="00234899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shd w:val="clear" w:color="auto" w:fill="auto"/>
          </w:tcPr>
          <w:p w:rsidR="00234899" w:rsidRPr="00E804ED" w:rsidRDefault="00E804ED" w:rsidP="001A0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04ED">
              <w:rPr>
                <w:rFonts w:ascii="Arial" w:hAnsi="Arial" w:cs="Arial"/>
                <w:sz w:val="22"/>
                <w:szCs w:val="22"/>
              </w:rPr>
              <w:t xml:space="preserve">Графикът на учебния процес се разработва във Факултет „Обществено здраве”, като се съобразява с решенията на АС по отношение на утвърдените рамки във времето за съответната учебна година. Той съдържа периодите на обучение, провежданите присъствени и </w:t>
            </w:r>
            <w:r w:rsidRPr="00E804ED">
              <w:rPr>
                <w:rFonts w:ascii="Arial" w:hAnsi="Arial" w:cs="Arial"/>
                <w:sz w:val="22"/>
                <w:szCs w:val="22"/>
              </w:rPr>
              <w:lastRenderedPageBreak/>
              <w:t>дистанционни консултации и полагането на изпитите. Графикът се разработва за курса на обучение и по отделни, обсъжда се във Факултетния съвет и се утвърждава от Декана на Факултета в началото на учебната година и във всеки отделен семестър. Графикът е задължителен за обучаемите, преподавателите и административните структури.</w:t>
            </w:r>
            <w:r w:rsidR="00234899" w:rsidRPr="00E804E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4899" w:rsidRPr="00234899" w:rsidRDefault="00234899" w:rsidP="001A00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4899" w:rsidRPr="00234899" w:rsidRDefault="00234899" w:rsidP="001A008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34899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 и учебното пособие...</w:t>
            </w:r>
          </w:p>
          <w:p w:rsidR="00234899" w:rsidRPr="00234899" w:rsidRDefault="00234899" w:rsidP="001A00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234899" w:rsidRPr="00234899" w:rsidRDefault="00234899" w:rsidP="00E804E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34899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5. </w:t>
            </w:r>
            <w:r w:rsidR="00E804ED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Конспекти по учебните дисциплини</w:t>
            </w:r>
            <w:r w:rsidRPr="002348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234899" w:rsidRPr="00234899" w:rsidTr="001A008B">
        <w:trPr>
          <w:jc w:val="center"/>
        </w:trPr>
        <w:tc>
          <w:tcPr>
            <w:tcW w:w="10188" w:type="dxa"/>
            <w:shd w:val="clear" w:color="auto" w:fill="FFFFFF"/>
          </w:tcPr>
          <w:p w:rsidR="00E804ED" w:rsidRPr="00E804ED" w:rsidRDefault="00E804ED" w:rsidP="00E804ED">
            <w:pPr>
              <w:pStyle w:val="NormalWeb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804ED">
              <w:rPr>
                <w:rFonts w:ascii="Helvetica" w:hAnsi="Helvetica" w:cs="Helvetica"/>
                <w:b/>
                <w:bCs/>
                <w:color w:val="000000"/>
                <w:sz w:val="36"/>
                <w:szCs w:val="36"/>
              </w:rPr>
              <w:br/>
            </w:r>
            <w:r w:rsidRPr="00E804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Уважаеми колеги,</w:t>
            </w:r>
          </w:p>
          <w:p w:rsidR="00E804ED" w:rsidRPr="00E804ED" w:rsidRDefault="00E804ED" w:rsidP="00E804ED">
            <w:pPr>
              <w:pStyle w:val="NormalWeb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804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 финализиране на подготовката по учебните дисциплини и полагането на семестриални изпити са разработени изпитни конспекти. Целта на конспектите е да се систематизират получените познания, като се концентрира върху основни въпроси от преминатите лекционни курсове и представените към тях учебни материали. Конспектите са извадка от учебните програми по отделните учебни дисциплини и в тях са включени въпроси, които присъстват в някакъв обем в лекциите и посочената към тях литература.</w:t>
            </w:r>
          </w:p>
          <w:p w:rsidR="00E804ED" w:rsidRPr="00E804ED" w:rsidRDefault="00E804ED" w:rsidP="00E804ED">
            <w:pPr>
              <w:pStyle w:val="NormalWeb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804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Конспектите се разработват от преподавателите и са поместени в секции към всяка учебна дисциплина. По предложение на преподавателите те могат да се поставят и в тази секция по-долу:</w:t>
            </w:r>
          </w:p>
          <w:p w:rsidR="00E804ED" w:rsidRPr="00E804ED" w:rsidRDefault="00E804ED" w:rsidP="00E804ED">
            <w:pPr>
              <w:pStyle w:val="NormalWeb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804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Конспекти по учебните дисциплини...</w:t>
            </w:r>
          </w:p>
          <w:p w:rsidR="00234899" w:rsidRPr="00234899" w:rsidRDefault="00234899" w:rsidP="001A008B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</w:tbl>
    <w:p w:rsidR="00234899" w:rsidRPr="00234899" w:rsidRDefault="00234899" w:rsidP="003D0D39">
      <w:pPr>
        <w:rPr>
          <w:b/>
        </w:rPr>
      </w:pPr>
    </w:p>
    <w:p w:rsidR="007E4FB5" w:rsidRPr="00923653" w:rsidRDefault="007E4FB5" w:rsidP="00F70B2B">
      <w:pPr>
        <w:jc w:val="both"/>
        <w:rPr>
          <w:sz w:val="22"/>
          <w:szCs w:val="22"/>
        </w:rPr>
      </w:pPr>
    </w:p>
    <w:p w:rsidR="003C2D4C" w:rsidRPr="007E4FB5" w:rsidRDefault="00E10FBB" w:rsidP="00DB132C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Февруари, 2017</w:t>
      </w:r>
      <w:r w:rsidR="00153E17" w:rsidRPr="00923653">
        <w:rPr>
          <w:b/>
          <w:sz w:val="18"/>
          <w:szCs w:val="18"/>
        </w:rPr>
        <w:t xml:space="preserve"> </w:t>
      </w:r>
      <w:r w:rsidR="00F70B2B" w:rsidRPr="00923653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153E17" w:rsidRPr="00923653">
        <w:rPr>
          <w:b/>
          <w:sz w:val="18"/>
          <w:szCs w:val="18"/>
        </w:rPr>
        <w:t>Изготвил,</w:t>
      </w:r>
    </w:p>
    <w:p w:rsidR="003C2D4C" w:rsidRPr="003C2D4C" w:rsidRDefault="003C2D4C" w:rsidP="00DB13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Pr="007E4FB5">
        <w:rPr>
          <w:b/>
          <w:sz w:val="18"/>
          <w:szCs w:val="18"/>
          <w:lang w:val="ru-RU"/>
        </w:rPr>
        <w:t xml:space="preserve">Доц. </w:t>
      </w:r>
      <w:proofErr w:type="spellStart"/>
      <w:r w:rsidRPr="007E4FB5">
        <w:rPr>
          <w:b/>
          <w:sz w:val="18"/>
          <w:szCs w:val="18"/>
          <w:lang w:val="ru-RU"/>
        </w:rPr>
        <w:t>инж</w:t>
      </w:r>
      <w:proofErr w:type="spellEnd"/>
      <w:r w:rsidRPr="007E4FB5">
        <w:rPr>
          <w:b/>
          <w:sz w:val="18"/>
          <w:szCs w:val="18"/>
          <w:lang w:val="ru-RU"/>
        </w:rPr>
        <w:t xml:space="preserve">. Г. </w:t>
      </w:r>
      <w:proofErr w:type="spellStart"/>
      <w:r w:rsidRPr="007E4FB5">
        <w:rPr>
          <w:b/>
          <w:sz w:val="18"/>
          <w:szCs w:val="18"/>
          <w:lang w:val="ru-RU"/>
        </w:rPr>
        <w:t>Цанев</w:t>
      </w:r>
      <w:proofErr w:type="spellEnd"/>
      <w:r w:rsidRPr="007E4FB5">
        <w:rPr>
          <w:b/>
          <w:sz w:val="18"/>
          <w:szCs w:val="18"/>
          <w:lang w:val="ru-RU"/>
        </w:rPr>
        <w:t xml:space="preserve">, </w:t>
      </w:r>
      <w:proofErr w:type="spellStart"/>
      <w:r w:rsidRPr="007E4FB5">
        <w:rPr>
          <w:b/>
          <w:sz w:val="18"/>
          <w:szCs w:val="18"/>
          <w:lang w:val="ru-RU"/>
        </w:rPr>
        <w:t>д.т</w:t>
      </w:r>
      <w:proofErr w:type="spellEnd"/>
      <w:r w:rsidRPr="007E4FB5">
        <w:rPr>
          <w:b/>
          <w:sz w:val="18"/>
          <w:szCs w:val="18"/>
          <w:lang w:val="ru-RU"/>
        </w:rPr>
        <w:t>.</w:t>
      </w:r>
      <w:r>
        <w:rPr>
          <w:b/>
          <w:sz w:val="18"/>
          <w:szCs w:val="18"/>
        </w:rPr>
        <w:t>/</w:t>
      </w:r>
    </w:p>
    <w:sectPr w:rsidR="003C2D4C" w:rsidRPr="003C2D4C" w:rsidSect="003C2D4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42" w:rsidRDefault="00293942" w:rsidP="004002FC">
      <w:pPr>
        <w:pStyle w:val="NormalWeb"/>
      </w:pPr>
      <w:r>
        <w:separator/>
      </w:r>
    </w:p>
  </w:endnote>
  <w:endnote w:type="continuationSeparator" w:id="0">
    <w:p w:rsidR="00293942" w:rsidRDefault="00293942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46" w:rsidRDefault="00BD2061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A9EB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Z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" strokeweight=".5pt"/>
          </w:pict>
        </mc:Fallback>
      </mc:AlternateContent>
    </w:r>
  </w:p>
  <w:p w:rsidR="00356B46" w:rsidRPr="005E112E" w:rsidRDefault="00356B46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E7C6C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E7C6C"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46" w:rsidRDefault="00BD2061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545B7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k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" strokeweight=".5pt"/>
          </w:pict>
        </mc:Fallback>
      </mc:AlternateContent>
    </w:r>
  </w:p>
  <w:p w:rsidR="00356B46" w:rsidRPr="005E112E" w:rsidRDefault="00356B46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E7C6C"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E7C6C"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46" w:rsidRDefault="00BD2061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D020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tR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" strokeweight=".5pt"/>
          </w:pict>
        </mc:Fallback>
      </mc:AlternateContent>
    </w:r>
  </w:p>
  <w:p w:rsidR="00356B46" w:rsidRDefault="00356B46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356B46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135D14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135D14"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42" w:rsidRDefault="00293942" w:rsidP="004002FC">
      <w:pPr>
        <w:pStyle w:val="NormalWeb"/>
      </w:pPr>
      <w:r>
        <w:separator/>
      </w:r>
    </w:p>
  </w:footnote>
  <w:footnote w:type="continuationSeparator" w:id="0">
    <w:p w:rsidR="00293942" w:rsidRDefault="00293942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:rsidTr="00142D32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Default="00293942" w:rsidP="00142D32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5.5pt;margin-top:-4.6pt;width:36.8pt;height:37.55pt;z-index:251659264">
                <v:imagedata r:id="rId1" o:title=""/>
              </v:shape>
              <o:OLEObject Type="Embed" ProgID="CorelDRAW.Graphic.10" ShapeID="_x0000_s2062" DrawAspect="Content" ObjectID="_1549903063" r:id="rId2"/>
            </w:object>
          </w:r>
          <w:r w:rsidR="00356B46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:rsidTr="00142D32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356B46" w:rsidRDefault="00356B46" w:rsidP="00142D32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142D32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356B46" w:rsidTr="00142D32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356B46" w:rsidRDefault="00356B46" w:rsidP="00142D32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142D32">
            <w:rPr>
              <w:rFonts w:ascii="Arial" w:hAnsi="Arial" w:cs="Arial"/>
              <w:b/>
              <w:caps/>
              <w:sz w:val="22"/>
              <w:szCs w:val="22"/>
            </w:rPr>
            <w:t>ИМЕ НА КАТЕДРАТА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356B46" w:rsidRDefault="00356B46" w:rsidP="0035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F3B161D"/>
    <w:multiLevelType w:val="hybridMultilevel"/>
    <w:tmpl w:val="54FA4B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EE1540E"/>
    <w:multiLevelType w:val="hybridMultilevel"/>
    <w:tmpl w:val="C1EC12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334EF"/>
    <w:multiLevelType w:val="hybridMultilevel"/>
    <w:tmpl w:val="CD92E9B2"/>
    <w:lvl w:ilvl="0" w:tplc="7CECC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B291EC">
      <w:start w:val="1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14"/>
  </w:num>
  <w:num w:numId="11">
    <w:abstractNumId w:val="12"/>
  </w:num>
  <w:num w:numId="12">
    <w:abstractNumId w:val="0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7"/>
  </w:num>
  <w:num w:numId="18">
    <w:abstractNumId w:val="9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4F"/>
    <w:rsid w:val="0000247B"/>
    <w:rsid w:val="00003EF1"/>
    <w:rsid w:val="00004012"/>
    <w:rsid w:val="000056D5"/>
    <w:rsid w:val="00007C15"/>
    <w:rsid w:val="00010A2C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E019D"/>
    <w:rsid w:val="000E2A2E"/>
    <w:rsid w:val="000E2E81"/>
    <w:rsid w:val="000E66BE"/>
    <w:rsid w:val="000E711D"/>
    <w:rsid w:val="000F0F4D"/>
    <w:rsid w:val="000F5616"/>
    <w:rsid w:val="00100112"/>
    <w:rsid w:val="00103AEE"/>
    <w:rsid w:val="00103BA2"/>
    <w:rsid w:val="00113B47"/>
    <w:rsid w:val="001277F3"/>
    <w:rsid w:val="0013353A"/>
    <w:rsid w:val="00135D14"/>
    <w:rsid w:val="00142D32"/>
    <w:rsid w:val="0014789D"/>
    <w:rsid w:val="001516D0"/>
    <w:rsid w:val="00153475"/>
    <w:rsid w:val="00153E17"/>
    <w:rsid w:val="00164C5F"/>
    <w:rsid w:val="001655D6"/>
    <w:rsid w:val="00180EA9"/>
    <w:rsid w:val="001810B0"/>
    <w:rsid w:val="00187C0B"/>
    <w:rsid w:val="001918E2"/>
    <w:rsid w:val="001A008B"/>
    <w:rsid w:val="001A7A5D"/>
    <w:rsid w:val="001C40FF"/>
    <w:rsid w:val="001C4837"/>
    <w:rsid w:val="001C6603"/>
    <w:rsid w:val="001E30A3"/>
    <w:rsid w:val="001F6582"/>
    <w:rsid w:val="001F7BAC"/>
    <w:rsid w:val="00213372"/>
    <w:rsid w:val="002202E8"/>
    <w:rsid w:val="002215A1"/>
    <w:rsid w:val="00224CEB"/>
    <w:rsid w:val="00232712"/>
    <w:rsid w:val="00234899"/>
    <w:rsid w:val="0023506E"/>
    <w:rsid w:val="002353A1"/>
    <w:rsid w:val="00265D3E"/>
    <w:rsid w:val="0028079A"/>
    <w:rsid w:val="002807BF"/>
    <w:rsid w:val="00286888"/>
    <w:rsid w:val="00293942"/>
    <w:rsid w:val="002964A3"/>
    <w:rsid w:val="002965FC"/>
    <w:rsid w:val="002C50E5"/>
    <w:rsid w:val="002E4567"/>
    <w:rsid w:val="002E61B2"/>
    <w:rsid w:val="002E6C8F"/>
    <w:rsid w:val="002F3F35"/>
    <w:rsid w:val="002F5C32"/>
    <w:rsid w:val="00302ADC"/>
    <w:rsid w:val="003038EF"/>
    <w:rsid w:val="003105FC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5D94"/>
    <w:rsid w:val="003875CF"/>
    <w:rsid w:val="00393EF3"/>
    <w:rsid w:val="00395822"/>
    <w:rsid w:val="003966B3"/>
    <w:rsid w:val="003A12AD"/>
    <w:rsid w:val="003A4F9A"/>
    <w:rsid w:val="003B1301"/>
    <w:rsid w:val="003C2CD2"/>
    <w:rsid w:val="003C2D4C"/>
    <w:rsid w:val="003C5359"/>
    <w:rsid w:val="003D0D39"/>
    <w:rsid w:val="003E2E67"/>
    <w:rsid w:val="003E606B"/>
    <w:rsid w:val="003F00C4"/>
    <w:rsid w:val="003F527E"/>
    <w:rsid w:val="003F53FC"/>
    <w:rsid w:val="004002FC"/>
    <w:rsid w:val="00401F19"/>
    <w:rsid w:val="00404FD3"/>
    <w:rsid w:val="00411959"/>
    <w:rsid w:val="00425427"/>
    <w:rsid w:val="00434B23"/>
    <w:rsid w:val="00437E4D"/>
    <w:rsid w:val="0044147B"/>
    <w:rsid w:val="004618AE"/>
    <w:rsid w:val="004910EA"/>
    <w:rsid w:val="00493414"/>
    <w:rsid w:val="00495165"/>
    <w:rsid w:val="004A4C7A"/>
    <w:rsid w:val="004B0D06"/>
    <w:rsid w:val="004B3BCC"/>
    <w:rsid w:val="004C6316"/>
    <w:rsid w:val="004D196E"/>
    <w:rsid w:val="004D25D4"/>
    <w:rsid w:val="004D2C56"/>
    <w:rsid w:val="004D3E5B"/>
    <w:rsid w:val="004D76ED"/>
    <w:rsid w:val="004E1F22"/>
    <w:rsid w:val="004E1FE3"/>
    <w:rsid w:val="00503F83"/>
    <w:rsid w:val="00507472"/>
    <w:rsid w:val="00515BF2"/>
    <w:rsid w:val="005204B5"/>
    <w:rsid w:val="00520D52"/>
    <w:rsid w:val="005241B7"/>
    <w:rsid w:val="00525E62"/>
    <w:rsid w:val="00527263"/>
    <w:rsid w:val="00532B6B"/>
    <w:rsid w:val="005433EA"/>
    <w:rsid w:val="0054585D"/>
    <w:rsid w:val="00545B15"/>
    <w:rsid w:val="005479F4"/>
    <w:rsid w:val="00556E6B"/>
    <w:rsid w:val="00561D53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12864"/>
    <w:rsid w:val="00640EE1"/>
    <w:rsid w:val="00646D81"/>
    <w:rsid w:val="006623A0"/>
    <w:rsid w:val="00662F39"/>
    <w:rsid w:val="00664452"/>
    <w:rsid w:val="00666E77"/>
    <w:rsid w:val="00675835"/>
    <w:rsid w:val="00680F32"/>
    <w:rsid w:val="006852F0"/>
    <w:rsid w:val="00685F89"/>
    <w:rsid w:val="006908AA"/>
    <w:rsid w:val="006920A0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712096"/>
    <w:rsid w:val="00722FE7"/>
    <w:rsid w:val="00724FDE"/>
    <w:rsid w:val="00727CCA"/>
    <w:rsid w:val="00731B10"/>
    <w:rsid w:val="00732CEA"/>
    <w:rsid w:val="00745DBA"/>
    <w:rsid w:val="0074646F"/>
    <w:rsid w:val="0076008E"/>
    <w:rsid w:val="00760865"/>
    <w:rsid w:val="0076412F"/>
    <w:rsid w:val="00770EB4"/>
    <w:rsid w:val="007729B2"/>
    <w:rsid w:val="0077721F"/>
    <w:rsid w:val="00780AB7"/>
    <w:rsid w:val="0078293B"/>
    <w:rsid w:val="00793D41"/>
    <w:rsid w:val="0079428B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4FB5"/>
    <w:rsid w:val="008063C4"/>
    <w:rsid w:val="00807029"/>
    <w:rsid w:val="00820D9F"/>
    <w:rsid w:val="008220ED"/>
    <w:rsid w:val="008426AC"/>
    <w:rsid w:val="008442A7"/>
    <w:rsid w:val="00844E3D"/>
    <w:rsid w:val="00854E9A"/>
    <w:rsid w:val="008661BD"/>
    <w:rsid w:val="008704C6"/>
    <w:rsid w:val="00874663"/>
    <w:rsid w:val="00890D04"/>
    <w:rsid w:val="00894ACF"/>
    <w:rsid w:val="008972AC"/>
    <w:rsid w:val="008A0265"/>
    <w:rsid w:val="008B2964"/>
    <w:rsid w:val="008D4901"/>
    <w:rsid w:val="008E4975"/>
    <w:rsid w:val="00901F7E"/>
    <w:rsid w:val="00902570"/>
    <w:rsid w:val="00912444"/>
    <w:rsid w:val="00922643"/>
    <w:rsid w:val="00923653"/>
    <w:rsid w:val="009238A5"/>
    <w:rsid w:val="00925212"/>
    <w:rsid w:val="00933A6F"/>
    <w:rsid w:val="00937FEB"/>
    <w:rsid w:val="00944A29"/>
    <w:rsid w:val="009526D9"/>
    <w:rsid w:val="009534E7"/>
    <w:rsid w:val="00962BA2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B0840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AC5"/>
    <w:rsid w:val="00A15E9B"/>
    <w:rsid w:val="00A22EBC"/>
    <w:rsid w:val="00A2401C"/>
    <w:rsid w:val="00A27FD2"/>
    <w:rsid w:val="00A323FB"/>
    <w:rsid w:val="00A347E4"/>
    <w:rsid w:val="00A3510B"/>
    <w:rsid w:val="00A5065E"/>
    <w:rsid w:val="00A546CA"/>
    <w:rsid w:val="00A620F6"/>
    <w:rsid w:val="00A675A6"/>
    <w:rsid w:val="00A70529"/>
    <w:rsid w:val="00A73622"/>
    <w:rsid w:val="00AB030D"/>
    <w:rsid w:val="00AB48F3"/>
    <w:rsid w:val="00AC76B9"/>
    <w:rsid w:val="00AD5420"/>
    <w:rsid w:val="00AD63C6"/>
    <w:rsid w:val="00AF53DD"/>
    <w:rsid w:val="00B03DD4"/>
    <w:rsid w:val="00B05446"/>
    <w:rsid w:val="00B05F0E"/>
    <w:rsid w:val="00B13B2C"/>
    <w:rsid w:val="00B14D18"/>
    <w:rsid w:val="00B21DE5"/>
    <w:rsid w:val="00B25B31"/>
    <w:rsid w:val="00B27CDF"/>
    <w:rsid w:val="00B31206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A5319"/>
    <w:rsid w:val="00BB3550"/>
    <w:rsid w:val="00BB4129"/>
    <w:rsid w:val="00BC0D32"/>
    <w:rsid w:val="00BC5AF2"/>
    <w:rsid w:val="00BD09BD"/>
    <w:rsid w:val="00BD1C63"/>
    <w:rsid w:val="00BD2061"/>
    <w:rsid w:val="00BD2E01"/>
    <w:rsid w:val="00BE4D08"/>
    <w:rsid w:val="00BF5B55"/>
    <w:rsid w:val="00C026D3"/>
    <w:rsid w:val="00C11BF8"/>
    <w:rsid w:val="00C15543"/>
    <w:rsid w:val="00C21A39"/>
    <w:rsid w:val="00C25A4F"/>
    <w:rsid w:val="00C61144"/>
    <w:rsid w:val="00C779A0"/>
    <w:rsid w:val="00C9095B"/>
    <w:rsid w:val="00CA19DC"/>
    <w:rsid w:val="00CC55A9"/>
    <w:rsid w:val="00CD5F32"/>
    <w:rsid w:val="00CD72EC"/>
    <w:rsid w:val="00CE31C4"/>
    <w:rsid w:val="00CF5122"/>
    <w:rsid w:val="00CF74F6"/>
    <w:rsid w:val="00D041E4"/>
    <w:rsid w:val="00D15372"/>
    <w:rsid w:val="00D22790"/>
    <w:rsid w:val="00D3036F"/>
    <w:rsid w:val="00D30998"/>
    <w:rsid w:val="00D34A96"/>
    <w:rsid w:val="00D35225"/>
    <w:rsid w:val="00D416F1"/>
    <w:rsid w:val="00D44160"/>
    <w:rsid w:val="00D50642"/>
    <w:rsid w:val="00D50D45"/>
    <w:rsid w:val="00D6017C"/>
    <w:rsid w:val="00D61AB8"/>
    <w:rsid w:val="00D62050"/>
    <w:rsid w:val="00D66BDA"/>
    <w:rsid w:val="00D70FF1"/>
    <w:rsid w:val="00D725C8"/>
    <w:rsid w:val="00D725CF"/>
    <w:rsid w:val="00D76762"/>
    <w:rsid w:val="00D82144"/>
    <w:rsid w:val="00DA3EF4"/>
    <w:rsid w:val="00DB132C"/>
    <w:rsid w:val="00DB1FD3"/>
    <w:rsid w:val="00DB3B07"/>
    <w:rsid w:val="00DB6DCE"/>
    <w:rsid w:val="00DC2126"/>
    <w:rsid w:val="00DD1DDC"/>
    <w:rsid w:val="00DD458E"/>
    <w:rsid w:val="00DD4F46"/>
    <w:rsid w:val="00DD611C"/>
    <w:rsid w:val="00DE5D3A"/>
    <w:rsid w:val="00DE7081"/>
    <w:rsid w:val="00DE7C6C"/>
    <w:rsid w:val="00DF0D65"/>
    <w:rsid w:val="00DF0E22"/>
    <w:rsid w:val="00DF67BE"/>
    <w:rsid w:val="00E1034B"/>
    <w:rsid w:val="00E10FBB"/>
    <w:rsid w:val="00E178CD"/>
    <w:rsid w:val="00E26F7A"/>
    <w:rsid w:val="00E27A18"/>
    <w:rsid w:val="00E55AD5"/>
    <w:rsid w:val="00E56565"/>
    <w:rsid w:val="00E61575"/>
    <w:rsid w:val="00E804ED"/>
    <w:rsid w:val="00E83BCE"/>
    <w:rsid w:val="00E850BF"/>
    <w:rsid w:val="00E9339C"/>
    <w:rsid w:val="00EA018C"/>
    <w:rsid w:val="00EB0B7B"/>
    <w:rsid w:val="00EB15EB"/>
    <w:rsid w:val="00EB3609"/>
    <w:rsid w:val="00EC369D"/>
    <w:rsid w:val="00EC596F"/>
    <w:rsid w:val="00ED3807"/>
    <w:rsid w:val="00EE0DC3"/>
    <w:rsid w:val="00EF1FDC"/>
    <w:rsid w:val="00EF5340"/>
    <w:rsid w:val="00F12F58"/>
    <w:rsid w:val="00F139C7"/>
    <w:rsid w:val="00F27591"/>
    <w:rsid w:val="00F372A6"/>
    <w:rsid w:val="00F37414"/>
    <w:rsid w:val="00F40CBE"/>
    <w:rsid w:val="00F51E66"/>
    <w:rsid w:val="00F54490"/>
    <w:rsid w:val="00F70B2B"/>
    <w:rsid w:val="00F71480"/>
    <w:rsid w:val="00F717FD"/>
    <w:rsid w:val="00F970E6"/>
    <w:rsid w:val="00F973F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E714DEE5-37A6-4985-A9AE-6802637A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uiPriority w:val="22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BalloonText">
    <w:name w:val="Balloon Text"/>
    <w:basedOn w:val="Normal"/>
    <w:link w:val="BalloonTextChar"/>
    <w:rsid w:val="000F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616"/>
    <w:rPr>
      <w:rFonts w:ascii="Tahoma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8B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22154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Georgi_Tzanev</cp:lastModifiedBy>
  <cp:revision>4</cp:revision>
  <cp:lastPrinted>2015-07-13T12:52:00Z</cp:lastPrinted>
  <dcterms:created xsi:type="dcterms:W3CDTF">2017-02-28T15:19:00Z</dcterms:created>
  <dcterms:modified xsi:type="dcterms:W3CDTF">2017-03-01T17:51:00Z</dcterms:modified>
</cp:coreProperties>
</file>