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141CA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D3062">
        <w:rPr>
          <w:rFonts w:ascii="Times New Roman" w:hAnsi="Times New Roman"/>
          <w:b/>
          <w:caps/>
          <w:sz w:val="32"/>
          <w:szCs w:val="32"/>
          <w:lang w:val="en-US"/>
        </w:rPr>
        <w:t>2</w:t>
      </w:r>
      <w:bookmarkStart w:id="0" w:name="_GoBack"/>
      <w:bookmarkEnd w:id="0"/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F6717E">
        <w:rPr>
          <w:rFonts w:ascii="Times New Roman" w:hAnsi="Times New Roman"/>
          <w:b/>
          <w:caps/>
          <w:sz w:val="28"/>
          <w:szCs w:val="28"/>
        </w:rPr>
        <w:t>промоция на здравето на работното място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F6717E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F6717E" w:rsidRDefault="00F671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0D3062" w:rsidRDefault="006A1B82" w:rsidP="000D3062">
      <w:pPr>
        <w:jc w:val="center"/>
        <w:rPr>
          <w:rFonts w:ascii="Trebuchet MS" w:hAnsi="Trebuchet MS"/>
          <w:b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D3062">
        <w:rPr>
          <w:rFonts w:ascii="Trebuchet MS" w:hAnsi="Trebuchet MS"/>
          <w:b/>
          <w:lang w:val="en-US"/>
        </w:rPr>
        <w:t xml:space="preserve">: </w:t>
      </w:r>
    </w:p>
    <w:p w:rsidR="000D3062" w:rsidRPr="00E132EB" w:rsidRDefault="000D3062" w:rsidP="000D3062">
      <w:pPr>
        <w:jc w:val="center"/>
        <w:rPr>
          <w:rFonts w:ascii="Times New Roman" w:hAnsi="Times New Roman"/>
          <w:b/>
          <w:sz w:val="28"/>
          <w:szCs w:val="28"/>
        </w:rPr>
      </w:pPr>
      <w:r w:rsidRPr="00E132EB">
        <w:rPr>
          <w:rFonts w:ascii="Times New Roman" w:hAnsi="Times New Roman"/>
          <w:b/>
          <w:sz w:val="28"/>
          <w:szCs w:val="28"/>
        </w:rPr>
        <w:t xml:space="preserve">ПРОМОЦИЯ НА ЗДРАВЕТО </w:t>
      </w:r>
      <w:r>
        <w:rPr>
          <w:rFonts w:ascii="Times New Roman" w:hAnsi="Times New Roman"/>
          <w:b/>
          <w:sz w:val="28"/>
          <w:szCs w:val="28"/>
        </w:rPr>
        <w:t xml:space="preserve">НА РАБОТНОТО МЯСТО </w:t>
      </w:r>
      <w:r w:rsidRPr="00E132EB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ИНОВАТИВЕН ПОДХОД ЗА ПОДОБРЯВАНЕ НА ОБЩЕСТВЕНОТО ЗДРАВЕ</w:t>
      </w:r>
    </w:p>
    <w:p w:rsidR="008141CA" w:rsidRPr="00E132EB" w:rsidRDefault="008141CA" w:rsidP="008141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0F7" w:rsidRPr="000C1043" w:rsidRDefault="009A10F7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141CA">
        <w:rPr>
          <w:rFonts w:ascii="Times New Roman" w:hAnsi="Times New Roman"/>
          <w:b/>
        </w:rPr>
        <w:t>Доц. д-р Стела Георгиева, д</w:t>
      </w:r>
      <w:r w:rsidR="00B75A11">
        <w:rPr>
          <w:rFonts w:ascii="Times New Roman" w:hAnsi="Times New Roman"/>
          <w:b/>
        </w:rPr>
        <w:t>.</w:t>
      </w:r>
      <w:r w:rsidR="008141CA">
        <w:rPr>
          <w:rFonts w:ascii="Times New Roman" w:hAnsi="Times New Roman"/>
          <w:b/>
        </w:rPr>
        <w:t>м</w:t>
      </w:r>
      <w:r w:rsidR="00B75A11">
        <w:rPr>
          <w:rFonts w:ascii="Times New Roman" w:hAnsi="Times New Roman"/>
          <w:b/>
        </w:rPr>
        <w:t>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B75A11">
        <w:rPr>
          <w:rFonts w:ascii="Times New Roman" w:hAnsi="Times New Roman"/>
          <w:b/>
          <w:caps/>
          <w:lang w:val="en-US"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8C03D9" w:rsidRDefault="000C1043" w:rsidP="000D3062">
      <w:pPr>
        <w:spacing w:after="120"/>
        <w:rPr>
          <w:rFonts w:ascii="Trebuchet MS" w:hAnsi="Trebuchet MS"/>
          <w:sz w:val="20"/>
          <w:lang w:val="ru-RU"/>
        </w:rPr>
      </w:pPr>
      <w:r w:rsidRPr="00050780">
        <w:rPr>
          <w:rFonts w:ascii="Calibri" w:hAnsi="Calibri"/>
          <w:b/>
          <w:sz w:val="26"/>
          <w:szCs w:val="26"/>
        </w:rPr>
        <w:lastRenderedPageBreak/>
        <w:t xml:space="preserve"> </w:t>
      </w:r>
    </w:p>
    <w:p w:rsidR="000D3062" w:rsidRPr="00187EFF" w:rsidRDefault="000D3062" w:rsidP="000D3062">
      <w:pPr>
        <w:pStyle w:val="ListParagraph"/>
        <w:numPr>
          <w:ilvl w:val="0"/>
          <w:numId w:val="37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187EFF">
        <w:rPr>
          <w:rFonts w:eastAsia="Times New Roman"/>
          <w:b/>
          <w:sz w:val="26"/>
          <w:szCs w:val="26"/>
        </w:rPr>
        <w:t>Промоция на здравето на работното място – дефиниция и общи характеристики</w:t>
      </w:r>
    </w:p>
    <w:p w:rsidR="000D3062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  <w:r w:rsidRPr="00B91C06">
        <w:rPr>
          <w:rFonts w:eastAsia="Times New Roman"/>
          <w:sz w:val="26"/>
          <w:szCs w:val="26"/>
        </w:rPr>
        <w:t>Опазване здравето на трудово активното население придобива все по-голямо значение с оглед на глобализация и изразена динамика на пазара на труда, възникването на нови производства с неизвестни или недобре проучени потенциални рискове и изискващи нови компетентности и промяна на социално-демографските характеристики на работещите. В редица страни (включително България), поради емиграция и застаряване на населението намалява броя на лицата в трудоспособна възраст. Трудовоактивното население понася все по- голяма тежест за обезпечаване на ресурси за медицинска помощ, социални грижи и други за зависимите контингенти. Това изисква разнообразие от дейности за подобряване на работоспособността и активното дълголетие</w:t>
      </w:r>
      <w:r>
        <w:rPr>
          <w:rFonts w:eastAsia="Times New Roman"/>
          <w:sz w:val="26"/>
          <w:szCs w:val="26"/>
        </w:rPr>
        <w:t xml:space="preserve"> на хората и създава предпоставки за все по-широко разгръщане на здравно-промотивни дейности на работното място.</w:t>
      </w:r>
    </w:p>
    <w:p w:rsidR="000D3062" w:rsidRPr="00950C94" w:rsidRDefault="000D3062" w:rsidP="000D3062">
      <w:pPr>
        <w:jc w:val="both"/>
        <w:rPr>
          <w:rFonts w:ascii="Calibri" w:hAnsi="Calibri"/>
          <w:b/>
          <w:sz w:val="26"/>
          <w:szCs w:val="26"/>
        </w:rPr>
      </w:pPr>
      <w:r w:rsidRPr="00950C94">
        <w:rPr>
          <w:rFonts w:ascii="Calibri" w:hAnsi="Calibri"/>
          <w:b/>
          <w:sz w:val="26"/>
          <w:szCs w:val="26"/>
        </w:rPr>
        <w:t>Промоция на здравето на работното място (ПЗРМ) е съчетание на усилията на работодателите, работещите и обществото за подобряване на здравето и благополучието на работещите хора.</w:t>
      </w:r>
    </w:p>
    <w:p w:rsidR="000D3062" w:rsidRPr="00950C94" w:rsidRDefault="000D3062" w:rsidP="000D3062">
      <w:pPr>
        <w:jc w:val="both"/>
        <w:rPr>
          <w:rFonts w:ascii="Calibri" w:hAnsi="Calibri"/>
          <w:b/>
          <w:sz w:val="26"/>
          <w:szCs w:val="26"/>
        </w:rPr>
      </w:pPr>
      <w:r w:rsidRPr="00950C94">
        <w:rPr>
          <w:rFonts w:ascii="Calibri" w:hAnsi="Calibri"/>
          <w:b/>
          <w:sz w:val="26"/>
          <w:szCs w:val="26"/>
        </w:rPr>
        <w:t>Това може да се постигне чрез:</w:t>
      </w:r>
    </w:p>
    <w:p w:rsidR="000D3062" w:rsidRPr="00950C94" w:rsidRDefault="000D3062" w:rsidP="000D3062">
      <w:pPr>
        <w:pStyle w:val="ListParagraph"/>
        <w:numPr>
          <w:ilvl w:val="0"/>
          <w:numId w:val="36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950C94">
        <w:rPr>
          <w:rFonts w:eastAsia="Times New Roman"/>
          <w:b/>
          <w:sz w:val="26"/>
          <w:szCs w:val="26"/>
        </w:rPr>
        <w:t>Подобряване организацията на труда и на работната среда</w:t>
      </w:r>
    </w:p>
    <w:p w:rsidR="000D3062" w:rsidRPr="00950C94" w:rsidRDefault="000D3062" w:rsidP="000D3062">
      <w:pPr>
        <w:pStyle w:val="ListParagraph"/>
        <w:numPr>
          <w:ilvl w:val="0"/>
          <w:numId w:val="36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950C94">
        <w:rPr>
          <w:rFonts w:eastAsia="Times New Roman"/>
          <w:b/>
          <w:sz w:val="26"/>
          <w:szCs w:val="26"/>
        </w:rPr>
        <w:t>Активното участие на всички заинтересовани</w:t>
      </w:r>
    </w:p>
    <w:p w:rsidR="000D3062" w:rsidRPr="00950C94" w:rsidRDefault="000D3062" w:rsidP="000D3062">
      <w:pPr>
        <w:pStyle w:val="ListParagraph"/>
        <w:numPr>
          <w:ilvl w:val="0"/>
          <w:numId w:val="36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950C94">
        <w:rPr>
          <w:rFonts w:eastAsia="Times New Roman"/>
          <w:b/>
          <w:sz w:val="26"/>
          <w:szCs w:val="26"/>
        </w:rPr>
        <w:t>Поощряване на личното развитие</w:t>
      </w:r>
    </w:p>
    <w:p w:rsidR="000D3062" w:rsidRDefault="000D3062" w:rsidP="000D3062">
      <w:pPr>
        <w:jc w:val="right"/>
        <w:rPr>
          <w:rFonts w:ascii="Calibri" w:hAnsi="Calibri"/>
          <w:b/>
          <w:sz w:val="26"/>
          <w:szCs w:val="26"/>
        </w:rPr>
      </w:pPr>
      <w:r w:rsidRPr="00950C94">
        <w:rPr>
          <w:rFonts w:ascii="Calibri" w:hAnsi="Calibri"/>
          <w:b/>
          <w:sz w:val="26"/>
          <w:szCs w:val="26"/>
        </w:rPr>
        <w:t>(Люксембургска декларация, относно ПЗРМ, 1997)</w:t>
      </w:r>
    </w:p>
    <w:p w:rsidR="000D3062" w:rsidRPr="00950C94" w:rsidRDefault="000D3062" w:rsidP="000D3062">
      <w:pPr>
        <w:jc w:val="both"/>
        <w:rPr>
          <w:rFonts w:ascii="Calibri" w:hAnsi="Calibri"/>
          <w:b/>
          <w:sz w:val="26"/>
          <w:szCs w:val="26"/>
        </w:rPr>
      </w:pPr>
    </w:p>
    <w:p w:rsidR="000D3062" w:rsidRPr="00D32B5F" w:rsidRDefault="000D3062" w:rsidP="000D3062">
      <w:pPr>
        <w:jc w:val="both"/>
        <w:rPr>
          <w:rFonts w:ascii="Calibri" w:hAnsi="Calibri"/>
          <w:sz w:val="26"/>
          <w:szCs w:val="26"/>
        </w:rPr>
      </w:pPr>
      <w:r w:rsidRPr="00D32B5F">
        <w:rPr>
          <w:rFonts w:ascii="Calibri" w:hAnsi="Calibri"/>
          <w:sz w:val="26"/>
          <w:szCs w:val="26"/>
        </w:rPr>
        <w:t>Обща характеристика на ПЗРМ:</w:t>
      </w:r>
    </w:p>
    <w:p w:rsidR="000D3062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ПЗРМ е н</w:t>
      </w:r>
      <w:r w:rsidRPr="00D32B5F">
        <w:rPr>
          <w:rFonts w:eastAsia="Times New Roman"/>
          <w:sz w:val="26"/>
          <w:szCs w:val="26"/>
        </w:rPr>
        <w:t>ов модел на взаимоотношения в системата: работодател – работещи – експерти</w:t>
      </w:r>
      <w:r>
        <w:rPr>
          <w:rFonts w:eastAsia="Times New Roman"/>
          <w:sz w:val="26"/>
          <w:szCs w:val="26"/>
        </w:rPr>
        <w:t>, н</w:t>
      </w:r>
      <w:r w:rsidRPr="00D32B5F">
        <w:rPr>
          <w:rFonts w:eastAsia="Times New Roman"/>
          <w:sz w:val="26"/>
          <w:szCs w:val="26"/>
        </w:rPr>
        <w:t>ов метод на планиране, осъществяване и оценка на ефекта на проекти по широк спектър от проблеми</w:t>
      </w:r>
      <w:r>
        <w:rPr>
          <w:rFonts w:eastAsia="Times New Roman"/>
          <w:sz w:val="26"/>
          <w:szCs w:val="26"/>
        </w:rPr>
        <w:t xml:space="preserve"> и н</w:t>
      </w:r>
      <w:r w:rsidRPr="00D32B5F">
        <w:rPr>
          <w:rFonts w:eastAsia="Times New Roman"/>
          <w:sz w:val="26"/>
          <w:szCs w:val="26"/>
        </w:rPr>
        <w:t>ова технология за постигане на здраве и безопасност чрез участие на всички заинтересовани</w:t>
      </w:r>
      <w:r>
        <w:rPr>
          <w:rFonts w:eastAsia="Times New Roman"/>
          <w:sz w:val="26"/>
          <w:szCs w:val="26"/>
        </w:rPr>
        <w:t>. Залага се на м</w:t>
      </w:r>
      <w:r w:rsidRPr="00D32B5F">
        <w:rPr>
          <w:rFonts w:eastAsia="Times New Roman"/>
          <w:sz w:val="26"/>
          <w:szCs w:val="26"/>
        </w:rPr>
        <w:t>ултидисциплинарен и мултисекторен подход за решаване на въпроси на успешното управление, на безопасността, на здравето, на благосъстоянието и на оптималната производителност</w:t>
      </w:r>
      <w:r>
        <w:rPr>
          <w:rFonts w:eastAsia="Times New Roman"/>
          <w:sz w:val="26"/>
          <w:szCs w:val="26"/>
        </w:rPr>
        <w:t>. По този начин тя се превръща в и</w:t>
      </w:r>
      <w:r w:rsidRPr="00D32B5F">
        <w:rPr>
          <w:rFonts w:eastAsia="Times New Roman"/>
          <w:sz w:val="26"/>
          <w:szCs w:val="26"/>
        </w:rPr>
        <w:t>нвестиция за успешен и устойчив бизнес</w:t>
      </w:r>
      <w:r>
        <w:rPr>
          <w:rFonts w:eastAsia="Times New Roman"/>
          <w:sz w:val="26"/>
          <w:szCs w:val="26"/>
        </w:rPr>
        <w:t>, а не излишно затруднение и перо за невъзвръщаеми разходи.</w:t>
      </w:r>
    </w:p>
    <w:p w:rsidR="000D3062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Целта е ч</w:t>
      </w:r>
      <w:r w:rsidRPr="008544C6">
        <w:rPr>
          <w:rFonts w:eastAsia="Times New Roman"/>
          <w:sz w:val="26"/>
          <w:szCs w:val="26"/>
        </w:rPr>
        <w:t>рез целево и гъвкаво планиране и организация да се постигне интегриране на дейностите за опазване на здравето в политиката, стила на работа и управлението на организ</w:t>
      </w:r>
      <w:r>
        <w:rPr>
          <w:rFonts w:eastAsia="Times New Roman"/>
          <w:sz w:val="26"/>
          <w:szCs w:val="26"/>
        </w:rPr>
        <w:t xml:space="preserve">ацията. </w:t>
      </w:r>
      <w:r w:rsidRPr="008544C6">
        <w:rPr>
          <w:rFonts w:eastAsia="Times New Roman"/>
          <w:sz w:val="26"/>
          <w:szCs w:val="26"/>
        </w:rPr>
        <w:t>ПЗРМ да стане самоорганизиращ се и самовъзпроизвеждащ се постоянен процес (фиг. 1).</w:t>
      </w:r>
    </w:p>
    <w:p w:rsidR="000D3062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</w:p>
    <w:p w:rsidR="000D3062" w:rsidRDefault="00CE17D4" w:rsidP="000D3062">
      <w:pPr>
        <w:pStyle w:val="ListParagraph"/>
        <w:spacing w:after="0"/>
        <w:ind w:left="0"/>
        <w:jc w:val="center"/>
        <w:rPr>
          <w:rFonts w:eastAsia="Times New Roman"/>
          <w:sz w:val="26"/>
          <w:szCs w:val="26"/>
        </w:rPr>
      </w:pPr>
      <w:r>
        <w:rPr>
          <w:noProof/>
          <w:lang w:eastAsia="bg-B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онтейнер за съдържание 1" o:spid="_x0000_i1025" type="#_x0000_t75" style="width:427.5pt;height:258pt;visibility:visible;mso-wrap-style:square">
            <v:imagedata r:id="rId7" o:title=""/>
            <o:lock v:ext="edit" grouping="t"/>
          </v:shape>
        </w:pict>
      </w:r>
    </w:p>
    <w:p w:rsidR="000D3062" w:rsidRPr="007E57F1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16"/>
          <w:szCs w:val="16"/>
        </w:rPr>
      </w:pPr>
    </w:p>
    <w:p w:rsidR="000D3062" w:rsidRPr="00B91C06" w:rsidRDefault="000D3062" w:rsidP="000D3062">
      <w:pPr>
        <w:pStyle w:val="ListParagraph"/>
        <w:spacing w:after="0"/>
        <w:ind w:left="0"/>
        <w:jc w:val="both"/>
        <w:rPr>
          <w:rFonts w:eastAsia="Times New Roman"/>
          <w:i/>
          <w:sz w:val="26"/>
          <w:szCs w:val="26"/>
        </w:rPr>
      </w:pPr>
      <w:r w:rsidRPr="00B91C06">
        <w:rPr>
          <w:rFonts w:eastAsia="Times New Roman"/>
          <w:i/>
          <w:sz w:val="26"/>
          <w:szCs w:val="26"/>
        </w:rPr>
        <w:t>Фиг. 1: Цикъл на възпроизводство на дейностите по промоция на здравето</w:t>
      </w:r>
    </w:p>
    <w:p w:rsidR="000D3062" w:rsidRPr="007E57F1" w:rsidRDefault="000D3062" w:rsidP="000D3062">
      <w:pPr>
        <w:pStyle w:val="ListParagraph"/>
        <w:spacing w:after="0"/>
        <w:ind w:left="0"/>
        <w:jc w:val="both"/>
        <w:rPr>
          <w:rFonts w:eastAsia="Times New Roman"/>
          <w:i/>
          <w:sz w:val="16"/>
          <w:szCs w:val="16"/>
        </w:rPr>
      </w:pPr>
    </w:p>
    <w:p w:rsidR="000D3062" w:rsidRPr="0043189B" w:rsidRDefault="000D3062" w:rsidP="000D3062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Люксембургската декларация определя следните важни насоки (принципи</w:t>
      </w:r>
      <w:r w:rsidRPr="0043189B">
        <w:rPr>
          <w:rFonts w:ascii="Calibri" w:hAnsi="Calibri"/>
          <w:sz w:val="26"/>
          <w:szCs w:val="26"/>
        </w:rPr>
        <w:t>)</w:t>
      </w:r>
      <w:r>
        <w:rPr>
          <w:rFonts w:ascii="Calibri" w:hAnsi="Calibri"/>
          <w:sz w:val="26"/>
          <w:szCs w:val="26"/>
        </w:rPr>
        <w:t xml:space="preserve"> на ПЗРМ:</w:t>
      </w:r>
    </w:p>
    <w:p w:rsidR="000D3062" w:rsidRPr="0043189B" w:rsidRDefault="000D3062" w:rsidP="000D3062">
      <w:pPr>
        <w:jc w:val="both"/>
        <w:rPr>
          <w:rFonts w:ascii="Calibri" w:hAnsi="Calibri"/>
          <w:sz w:val="26"/>
          <w:szCs w:val="26"/>
        </w:rPr>
      </w:pPr>
      <w:r w:rsidRPr="0043189B">
        <w:rPr>
          <w:rFonts w:ascii="Calibri" w:hAnsi="Calibri"/>
          <w:b/>
          <w:sz w:val="26"/>
          <w:szCs w:val="26"/>
        </w:rPr>
        <w:t>Принципи на управление,</w:t>
      </w:r>
      <w:r w:rsidRPr="0043189B">
        <w:rPr>
          <w:rFonts w:ascii="Calibri" w:hAnsi="Calibri"/>
          <w:sz w:val="26"/>
          <w:szCs w:val="26"/>
        </w:rPr>
        <w:t xml:space="preserve"> които признават , че работниците са необходим фактор за успеха на организацията, а не само причина за разходи</w:t>
      </w:r>
    </w:p>
    <w:p w:rsidR="000D3062" w:rsidRPr="0043189B" w:rsidRDefault="000D3062" w:rsidP="000D3062">
      <w:pPr>
        <w:jc w:val="both"/>
        <w:rPr>
          <w:rFonts w:ascii="Calibri" w:hAnsi="Calibri"/>
          <w:sz w:val="26"/>
          <w:szCs w:val="26"/>
        </w:rPr>
      </w:pPr>
      <w:r w:rsidRPr="0043189B">
        <w:rPr>
          <w:rFonts w:ascii="Calibri" w:hAnsi="Calibri"/>
          <w:b/>
          <w:sz w:val="26"/>
          <w:szCs w:val="26"/>
        </w:rPr>
        <w:t>Принципи на ръководство,</w:t>
      </w:r>
      <w:r w:rsidRPr="0043189B">
        <w:rPr>
          <w:rFonts w:ascii="Calibri" w:hAnsi="Calibri"/>
          <w:sz w:val="26"/>
          <w:szCs w:val="26"/>
        </w:rPr>
        <w:t xml:space="preserve"> които включват  участие на работниците и поощряват тяхната мотивация и отговорност при работа</w:t>
      </w:r>
    </w:p>
    <w:p w:rsidR="000D3062" w:rsidRPr="0043189B" w:rsidRDefault="000D3062" w:rsidP="000D3062">
      <w:pPr>
        <w:jc w:val="both"/>
        <w:rPr>
          <w:rFonts w:ascii="Calibri" w:hAnsi="Calibri"/>
          <w:sz w:val="26"/>
          <w:szCs w:val="26"/>
        </w:rPr>
      </w:pPr>
      <w:r w:rsidRPr="0043189B">
        <w:rPr>
          <w:rFonts w:ascii="Calibri" w:hAnsi="Calibri"/>
          <w:b/>
          <w:sz w:val="26"/>
          <w:szCs w:val="26"/>
        </w:rPr>
        <w:t>Принципи на организация</w:t>
      </w:r>
      <w:r w:rsidRPr="0043189B">
        <w:rPr>
          <w:rFonts w:ascii="Calibri" w:hAnsi="Calibri"/>
          <w:sz w:val="26"/>
          <w:szCs w:val="26"/>
        </w:rPr>
        <w:t xml:space="preserve"> на работата, които създават баланс между служебни задължения и реализиране в семейния и обществения живот</w:t>
      </w:r>
    </w:p>
    <w:p w:rsidR="000D3062" w:rsidRPr="00B91C06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  <w:r w:rsidRPr="00B91C06">
        <w:rPr>
          <w:rFonts w:eastAsia="Times New Roman"/>
          <w:sz w:val="26"/>
          <w:szCs w:val="26"/>
        </w:rPr>
        <w:t xml:space="preserve">Промоцията на здравето включва дейности от различни сфери и изискващи различни компетентности. При осъществяване на конкретни програми е необходимо да се мобилизират усилията на професионалисти с различен профил, т.е. да се изграждат умения за </w:t>
      </w:r>
      <w:r w:rsidRPr="00B91C06">
        <w:rPr>
          <w:rFonts w:eastAsia="Times New Roman"/>
          <w:b/>
          <w:sz w:val="26"/>
          <w:szCs w:val="26"/>
        </w:rPr>
        <w:t>партньорство</w:t>
      </w:r>
      <w:r w:rsidRPr="00B91C06">
        <w:rPr>
          <w:rFonts w:eastAsia="Times New Roman"/>
          <w:sz w:val="26"/>
          <w:szCs w:val="26"/>
        </w:rPr>
        <w:t>.</w:t>
      </w:r>
    </w:p>
    <w:p w:rsidR="000D3062" w:rsidRPr="007E57F1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16"/>
          <w:szCs w:val="16"/>
        </w:rPr>
      </w:pPr>
    </w:p>
    <w:p w:rsidR="000D3062" w:rsidRPr="0043189B" w:rsidRDefault="000D3062" w:rsidP="000D3062">
      <w:pPr>
        <w:pStyle w:val="ListParagraph"/>
        <w:spacing w:after="0"/>
        <w:ind w:left="0"/>
        <w:jc w:val="both"/>
        <w:rPr>
          <w:rFonts w:eastAsia="Times New Roman"/>
          <w:i/>
          <w:sz w:val="26"/>
          <w:szCs w:val="26"/>
        </w:rPr>
      </w:pPr>
      <w:r w:rsidRPr="0043189B">
        <w:rPr>
          <w:rFonts w:eastAsia="Times New Roman"/>
          <w:i/>
          <w:sz w:val="26"/>
          <w:szCs w:val="26"/>
        </w:rPr>
        <w:t>Табл. 1: Реализиране принципа на партньорство при ПЗРМ</w:t>
      </w:r>
    </w:p>
    <w:p w:rsidR="000D3062" w:rsidRPr="007E57F1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64"/>
      </w:tblGrid>
      <w:tr w:rsidR="000D3062" w:rsidTr="00050780">
        <w:tc>
          <w:tcPr>
            <w:tcW w:w="4889" w:type="dxa"/>
            <w:shd w:val="clear" w:color="auto" w:fill="D9D9D9"/>
          </w:tcPr>
          <w:p w:rsidR="000D3062" w:rsidRPr="00050780" w:rsidRDefault="000D3062" w:rsidP="00050780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50780">
              <w:rPr>
                <w:rFonts w:eastAsia="Times New Roman"/>
                <w:b/>
                <w:sz w:val="26"/>
                <w:szCs w:val="26"/>
              </w:rPr>
              <w:t>Партньори</w:t>
            </w:r>
          </w:p>
        </w:tc>
        <w:tc>
          <w:tcPr>
            <w:tcW w:w="4889" w:type="dxa"/>
            <w:shd w:val="clear" w:color="auto" w:fill="D9D9D9"/>
          </w:tcPr>
          <w:p w:rsidR="000D3062" w:rsidRPr="00050780" w:rsidRDefault="000D3062" w:rsidP="00050780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50780">
              <w:rPr>
                <w:rFonts w:eastAsia="Times New Roman"/>
                <w:b/>
                <w:sz w:val="26"/>
                <w:szCs w:val="26"/>
              </w:rPr>
              <w:t>Професионални компетентности</w:t>
            </w:r>
          </w:p>
        </w:tc>
      </w:tr>
      <w:tr w:rsidR="000D3062" w:rsidTr="00050780"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6" w:hanging="284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Работодател/Ръководство</w:t>
            </w:r>
          </w:p>
        </w:tc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Икономически, технически, организационни знания</w:t>
            </w:r>
          </w:p>
        </w:tc>
      </w:tr>
      <w:tr w:rsidR="000D3062" w:rsidTr="00050780"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6" w:hanging="284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Персонал и негови представители/ организации</w:t>
            </w:r>
          </w:p>
        </w:tc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Професионални знания и практически умения</w:t>
            </w:r>
          </w:p>
        </w:tc>
      </w:tr>
      <w:tr w:rsidR="000D3062" w:rsidTr="00050780"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6" w:hanging="284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Експерти по безопасност и здраве при работа</w:t>
            </w:r>
          </w:p>
        </w:tc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Икономически, технически и медицински познания</w:t>
            </w:r>
          </w:p>
        </w:tc>
      </w:tr>
      <w:tr w:rsidR="000D3062" w:rsidTr="00050780"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26" w:hanging="284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Служби на общественото здравеопазване, на здравната помощ и на социалното осигуряване</w:t>
            </w:r>
          </w:p>
        </w:tc>
        <w:tc>
          <w:tcPr>
            <w:tcW w:w="4889" w:type="dxa"/>
            <w:shd w:val="clear" w:color="auto" w:fill="auto"/>
          </w:tcPr>
          <w:p w:rsidR="000D3062" w:rsidRPr="00050780" w:rsidRDefault="000D3062" w:rsidP="00050780">
            <w:pPr>
              <w:pStyle w:val="ListParagraph"/>
              <w:spacing w:line="240" w:lineRule="auto"/>
              <w:ind w:left="0"/>
              <w:jc w:val="both"/>
              <w:rPr>
                <w:rFonts w:eastAsia="Times New Roman"/>
                <w:sz w:val="26"/>
                <w:szCs w:val="26"/>
              </w:rPr>
            </w:pPr>
            <w:r w:rsidRPr="00050780">
              <w:rPr>
                <w:rFonts w:eastAsia="Times New Roman"/>
                <w:sz w:val="26"/>
                <w:szCs w:val="26"/>
              </w:rPr>
              <w:t>Познания по профилактика и промоция на здравето и по здравно законодателство</w:t>
            </w:r>
          </w:p>
        </w:tc>
      </w:tr>
    </w:tbl>
    <w:p w:rsidR="000D3062" w:rsidRPr="00D32B5F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</w:p>
    <w:p w:rsidR="000D3062" w:rsidRPr="00187EFF" w:rsidRDefault="000D3062" w:rsidP="000D3062">
      <w:pPr>
        <w:pStyle w:val="ListParagraph"/>
        <w:numPr>
          <w:ilvl w:val="0"/>
          <w:numId w:val="37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187EFF">
        <w:rPr>
          <w:rFonts w:eastAsia="Times New Roman"/>
          <w:b/>
          <w:sz w:val="26"/>
          <w:szCs w:val="26"/>
        </w:rPr>
        <w:t>Предпоставки и трудности за прилагане на ПЗРМ в България</w:t>
      </w:r>
    </w:p>
    <w:p w:rsidR="000D3062" w:rsidRPr="00EF3B4D" w:rsidRDefault="000D3062" w:rsidP="000D306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Българското законодателство и дейностите по ПЗРМ в България се развиват в съответствие с Европейските стандарти. В България има редица п</w:t>
      </w:r>
      <w:r w:rsidRPr="00F91729">
        <w:rPr>
          <w:rFonts w:ascii="Calibri" w:hAnsi="Calibri"/>
          <w:sz w:val="26"/>
          <w:szCs w:val="26"/>
        </w:rPr>
        <w:t>редпоставки за влошаване на здравното състояние</w:t>
      </w:r>
      <w:r>
        <w:rPr>
          <w:rFonts w:ascii="Calibri" w:hAnsi="Calibri"/>
          <w:sz w:val="26"/>
          <w:szCs w:val="26"/>
        </w:rPr>
        <w:t xml:space="preserve"> на трудоспособното население като ускорени темпове на популационно стареене, у</w:t>
      </w:r>
      <w:r w:rsidRPr="00EF3B4D">
        <w:rPr>
          <w:rFonts w:ascii="Calibri" w:hAnsi="Calibri"/>
          <w:sz w:val="26"/>
          <w:szCs w:val="26"/>
        </w:rPr>
        <w:t>величаване на възрастта за пенсиониране</w:t>
      </w:r>
      <w:r>
        <w:rPr>
          <w:rFonts w:ascii="Calibri" w:hAnsi="Calibri"/>
          <w:sz w:val="26"/>
          <w:szCs w:val="26"/>
        </w:rPr>
        <w:t>, ш</w:t>
      </w:r>
      <w:r w:rsidRPr="00EF3B4D">
        <w:rPr>
          <w:rFonts w:ascii="Calibri" w:hAnsi="Calibri"/>
          <w:sz w:val="26"/>
          <w:szCs w:val="26"/>
        </w:rPr>
        <w:t>ироко разпространение на рискови фактори за хроничните заболявания – тютюнопушене, алкохолна консумация, ограничена двигателна активност, нездравословно хранене, наднормено тегло</w:t>
      </w:r>
      <w:r>
        <w:rPr>
          <w:rFonts w:ascii="Calibri" w:hAnsi="Calibri"/>
          <w:sz w:val="26"/>
          <w:szCs w:val="26"/>
        </w:rPr>
        <w:t>.</w:t>
      </w:r>
    </w:p>
    <w:p w:rsidR="000D3062" w:rsidRPr="00132C0E" w:rsidRDefault="000D3062" w:rsidP="000D306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В нашата страна </w:t>
      </w:r>
      <w:r w:rsidRPr="00175D0A">
        <w:rPr>
          <w:rFonts w:ascii="Calibri" w:hAnsi="Calibri"/>
          <w:b/>
          <w:sz w:val="26"/>
          <w:szCs w:val="26"/>
        </w:rPr>
        <w:t>има утвърдени традиции и апробирани методи</w:t>
      </w:r>
      <w:r w:rsidRPr="00EF3B4D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за осигуряване на </w:t>
      </w:r>
      <w:r w:rsidRPr="00EF3B4D">
        <w:rPr>
          <w:rFonts w:ascii="Calibri" w:hAnsi="Calibri"/>
          <w:sz w:val="26"/>
          <w:szCs w:val="26"/>
        </w:rPr>
        <w:t>здравословна и безопасна работа</w:t>
      </w:r>
      <w:r>
        <w:rPr>
          <w:rFonts w:ascii="Calibri" w:hAnsi="Calibri"/>
          <w:sz w:val="26"/>
          <w:szCs w:val="26"/>
        </w:rPr>
        <w:t>, които следва да се използват</w:t>
      </w:r>
      <w:r w:rsidRPr="00EF3B4D">
        <w:rPr>
          <w:rFonts w:ascii="Calibri" w:hAnsi="Calibri"/>
          <w:sz w:val="26"/>
          <w:szCs w:val="26"/>
        </w:rPr>
        <w:t xml:space="preserve">: </w:t>
      </w:r>
      <w:r>
        <w:rPr>
          <w:rFonts w:ascii="Calibri" w:hAnsi="Calibri"/>
          <w:sz w:val="26"/>
          <w:szCs w:val="26"/>
        </w:rPr>
        <w:t>провеждане на инструктажи и</w:t>
      </w:r>
      <w:r w:rsidRPr="00EF3B4D">
        <w:rPr>
          <w:rFonts w:ascii="Calibri" w:hAnsi="Calibri"/>
          <w:sz w:val="26"/>
          <w:szCs w:val="26"/>
        </w:rPr>
        <w:t xml:space="preserve"> обучения</w:t>
      </w:r>
      <w:r>
        <w:rPr>
          <w:rFonts w:ascii="Calibri" w:hAnsi="Calibri"/>
          <w:sz w:val="26"/>
          <w:szCs w:val="26"/>
        </w:rPr>
        <w:t>, приемане на д</w:t>
      </w:r>
      <w:r w:rsidRPr="00EF3B4D">
        <w:rPr>
          <w:rFonts w:ascii="Calibri" w:hAnsi="Calibri"/>
          <w:sz w:val="26"/>
          <w:szCs w:val="26"/>
        </w:rPr>
        <w:t xml:space="preserve">ългосрочни решения (планове), които след съгласуване в </w:t>
      </w:r>
      <w:r>
        <w:rPr>
          <w:rFonts w:ascii="Calibri" w:hAnsi="Calibri"/>
          <w:sz w:val="26"/>
          <w:szCs w:val="26"/>
        </w:rPr>
        <w:t xml:space="preserve">Комитета по условия на труд </w:t>
      </w:r>
      <w:r>
        <w:rPr>
          <w:rFonts w:ascii="Calibri" w:hAnsi="Calibri"/>
          <w:sz w:val="26"/>
          <w:szCs w:val="26"/>
          <w:lang w:val="en-US"/>
        </w:rPr>
        <w:t>(</w:t>
      </w:r>
      <w:r w:rsidRPr="00EF3B4D">
        <w:rPr>
          <w:rFonts w:ascii="Calibri" w:hAnsi="Calibri"/>
          <w:sz w:val="26"/>
          <w:szCs w:val="26"/>
        </w:rPr>
        <w:t>КУТ</w:t>
      </w:r>
      <w:r>
        <w:rPr>
          <w:rFonts w:ascii="Calibri" w:hAnsi="Calibri"/>
          <w:sz w:val="26"/>
          <w:szCs w:val="26"/>
          <w:lang w:val="en-US"/>
        </w:rPr>
        <w:t>)</w:t>
      </w:r>
      <w:r w:rsidRPr="00EF3B4D">
        <w:rPr>
          <w:rFonts w:ascii="Calibri" w:hAnsi="Calibri"/>
          <w:sz w:val="26"/>
          <w:szCs w:val="26"/>
        </w:rPr>
        <w:t xml:space="preserve"> могат да се обявят като текуща фирмена политика</w:t>
      </w:r>
      <w:r>
        <w:rPr>
          <w:rFonts w:ascii="Calibri" w:hAnsi="Calibri"/>
          <w:sz w:val="26"/>
          <w:szCs w:val="26"/>
        </w:rPr>
        <w:t>, п</w:t>
      </w:r>
      <w:r w:rsidRPr="00132C0E">
        <w:rPr>
          <w:rFonts w:ascii="Calibri" w:hAnsi="Calibri"/>
          <w:sz w:val="26"/>
          <w:szCs w:val="26"/>
        </w:rPr>
        <w:t>ревантивни дейности, които след групиране в програми могат да бъдат обявени и контролирани за целесъ</w:t>
      </w:r>
      <w:r>
        <w:rPr>
          <w:rFonts w:ascii="Calibri" w:hAnsi="Calibri"/>
          <w:sz w:val="26"/>
          <w:szCs w:val="26"/>
        </w:rPr>
        <w:t>образност, разходи и ефикасност, в</w:t>
      </w:r>
      <w:r w:rsidRPr="00132C0E">
        <w:rPr>
          <w:rFonts w:ascii="Calibri" w:hAnsi="Calibri"/>
          <w:sz w:val="26"/>
          <w:szCs w:val="26"/>
        </w:rPr>
        <w:t>оде</w:t>
      </w:r>
      <w:r>
        <w:rPr>
          <w:rFonts w:ascii="Calibri" w:hAnsi="Calibri"/>
          <w:sz w:val="26"/>
          <w:szCs w:val="26"/>
        </w:rPr>
        <w:t>не на документация, която може</w:t>
      </w:r>
      <w:r w:rsidRPr="00132C0E">
        <w:rPr>
          <w:rFonts w:ascii="Calibri" w:hAnsi="Calibri"/>
          <w:sz w:val="26"/>
          <w:szCs w:val="26"/>
        </w:rPr>
        <w:t xml:space="preserve"> да се приведе във вида, практикуван в ЕС </w:t>
      </w:r>
      <w:r>
        <w:rPr>
          <w:rFonts w:ascii="Calibri" w:hAnsi="Calibri"/>
          <w:sz w:val="26"/>
          <w:szCs w:val="26"/>
        </w:rPr>
        <w:t>.</w:t>
      </w:r>
    </w:p>
    <w:p w:rsidR="000D3062" w:rsidRDefault="000D3062" w:rsidP="000D306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Наред с тези полезни практики има и </w:t>
      </w:r>
      <w:r w:rsidRPr="00175D0A">
        <w:rPr>
          <w:rFonts w:ascii="Calibri" w:hAnsi="Calibri"/>
          <w:b/>
          <w:sz w:val="26"/>
          <w:szCs w:val="26"/>
        </w:rPr>
        <w:t>редица препятствия</w:t>
      </w:r>
      <w:r>
        <w:rPr>
          <w:rFonts w:ascii="Calibri" w:hAnsi="Calibri"/>
          <w:sz w:val="26"/>
          <w:szCs w:val="26"/>
        </w:rPr>
        <w:t xml:space="preserve">, които трябва да бъдат  преодолени. </w:t>
      </w:r>
      <w:r w:rsidRPr="00132C0E">
        <w:rPr>
          <w:rFonts w:ascii="Calibri" w:hAnsi="Calibri"/>
          <w:sz w:val="26"/>
          <w:szCs w:val="26"/>
        </w:rPr>
        <w:t>Българските работодатели не са убедени, че от личната им активност зависи подобряването на условията на труд.</w:t>
      </w:r>
      <w:r>
        <w:rPr>
          <w:rFonts w:ascii="Calibri" w:hAnsi="Calibri"/>
          <w:sz w:val="26"/>
          <w:szCs w:val="26"/>
        </w:rPr>
        <w:t xml:space="preserve"> </w:t>
      </w:r>
      <w:r w:rsidRPr="00132C0E">
        <w:rPr>
          <w:rFonts w:ascii="Calibri" w:hAnsi="Calibri"/>
          <w:sz w:val="26"/>
          <w:szCs w:val="26"/>
        </w:rPr>
        <w:t>В производството ни преобладава „по-традиционна“ организация на работа с авторитарен стил на управление</w:t>
      </w:r>
      <w:r>
        <w:rPr>
          <w:rFonts w:ascii="Calibri" w:hAnsi="Calibri"/>
          <w:sz w:val="26"/>
          <w:szCs w:val="26"/>
        </w:rPr>
        <w:t xml:space="preserve">. </w:t>
      </w:r>
      <w:r w:rsidRPr="00132C0E">
        <w:rPr>
          <w:rFonts w:ascii="Calibri" w:hAnsi="Calibri"/>
          <w:sz w:val="26"/>
          <w:szCs w:val="26"/>
        </w:rPr>
        <w:t>Работниците разполагат с по-малка възможност за самоорганизация на задачите и методите и получават значително по-малко обучение и квалификация.</w:t>
      </w:r>
      <w:r>
        <w:rPr>
          <w:rFonts w:ascii="Calibri" w:hAnsi="Calibri"/>
          <w:sz w:val="26"/>
          <w:szCs w:val="26"/>
        </w:rPr>
        <w:t xml:space="preserve"> </w:t>
      </w:r>
      <w:r w:rsidRPr="00132C0E">
        <w:rPr>
          <w:rFonts w:ascii="Calibri" w:hAnsi="Calibri"/>
          <w:sz w:val="26"/>
          <w:szCs w:val="26"/>
        </w:rPr>
        <w:t>Работниците имат по-изразено чувство на застрашеност на здравето, повече оплаквания и по-ниска удовлет</w:t>
      </w:r>
      <w:r>
        <w:rPr>
          <w:rFonts w:ascii="Calibri" w:hAnsi="Calibri"/>
          <w:sz w:val="26"/>
          <w:szCs w:val="26"/>
        </w:rPr>
        <w:t>вореност от условията на работа.</w:t>
      </w:r>
    </w:p>
    <w:p w:rsidR="000D3062" w:rsidRPr="00175D0A" w:rsidRDefault="000D3062" w:rsidP="000D3062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У</w:t>
      </w:r>
      <w:r w:rsidRPr="00132C0E">
        <w:rPr>
          <w:rFonts w:ascii="Calibri" w:hAnsi="Calibri"/>
          <w:sz w:val="26"/>
          <w:szCs w:val="26"/>
        </w:rPr>
        <w:t xml:space="preserve"> нас</w:t>
      </w:r>
      <w:r>
        <w:rPr>
          <w:rFonts w:ascii="Calibri" w:hAnsi="Calibri"/>
          <w:sz w:val="26"/>
          <w:szCs w:val="26"/>
        </w:rPr>
        <w:t xml:space="preserve"> често дейностите са кампанийни и не винаги съответстват на потребностите. Не се</w:t>
      </w:r>
      <w:r w:rsidRPr="00132C0E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прилага</w:t>
      </w:r>
      <w:r w:rsidRPr="00132C0E">
        <w:rPr>
          <w:rFonts w:ascii="Calibri" w:hAnsi="Calibri"/>
          <w:sz w:val="26"/>
          <w:szCs w:val="26"/>
        </w:rPr>
        <w:t xml:space="preserve"> стратегия за целево и гъвкаво планиране</w:t>
      </w:r>
      <w:r>
        <w:rPr>
          <w:rFonts w:ascii="Calibri" w:hAnsi="Calibri"/>
          <w:sz w:val="26"/>
          <w:szCs w:val="26"/>
        </w:rPr>
        <w:t>,</w:t>
      </w:r>
      <w:r w:rsidRPr="00132C0E">
        <w:rPr>
          <w:rFonts w:ascii="Calibri" w:hAnsi="Calibri"/>
          <w:sz w:val="26"/>
          <w:szCs w:val="26"/>
        </w:rPr>
        <w:t xml:space="preserve"> </w:t>
      </w:r>
      <w:r w:rsidRPr="00F91729">
        <w:rPr>
          <w:rFonts w:ascii="Calibri" w:hAnsi="Calibri"/>
          <w:sz w:val="26"/>
          <w:szCs w:val="26"/>
        </w:rPr>
        <w:t>осигурен</w:t>
      </w:r>
      <w:r>
        <w:rPr>
          <w:rFonts w:ascii="Calibri" w:hAnsi="Calibri"/>
          <w:sz w:val="26"/>
          <w:szCs w:val="26"/>
        </w:rPr>
        <w:t>а</w:t>
      </w:r>
      <w:r w:rsidRPr="00F91729">
        <w:rPr>
          <w:rFonts w:ascii="Calibri" w:hAnsi="Calibri"/>
          <w:sz w:val="26"/>
          <w:szCs w:val="26"/>
        </w:rPr>
        <w:t xml:space="preserve"> с ресурси</w:t>
      </w:r>
      <w:r>
        <w:rPr>
          <w:rFonts w:ascii="Calibri" w:hAnsi="Calibri"/>
          <w:sz w:val="26"/>
          <w:szCs w:val="26"/>
        </w:rPr>
        <w:t xml:space="preserve"> за разрешаване на проблемите. Провеждането на дейностите не е съпътствано с </w:t>
      </w:r>
      <w:r w:rsidRPr="00132C0E">
        <w:rPr>
          <w:rFonts w:ascii="Calibri" w:hAnsi="Calibri"/>
          <w:sz w:val="26"/>
          <w:szCs w:val="26"/>
        </w:rPr>
        <w:t xml:space="preserve"> периодично и крайно оценяване на ефективността</w:t>
      </w:r>
      <w:r>
        <w:rPr>
          <w:rFonts w:ascii="Calibri" w:hAnsi="Calibri"/>
          <w:sz w:val="26"/>
          <w:szCs w:val="26"/>
        </w:rPr>
        <w:t>. Не винаги се гарантира р</w:t>
      </w:r>
      <w:r w:rsidRPr="00132C0E">
        <w:rPr>
          <w:rFonts w:ascii="Calibri" w:hAnsi="Calibri"/>
          <w:sz w:val="26"/>
          <w:szCs w:val="26"/>
        </w:rPr>
        <w:t>еално участие на всички партньори заедно, особено на работниците</w:t>
      </w:r>
      <w:r>
        <w:rPr>
          <w:rFonts w:ascii="Calibri" w:hAnsi="Calibri"/>
          <w:sz w:val="26"/>
          <w:szCs w:val="26"/>
        </w:rPr>
        <w:t>.</w:t>
      </w:r>
    </w:p>
    <w:p w:rsidR="000D3062" w:rsidRPr="00D32B5F" w:rsidRDefault="000D3062" w:rsidP="000D3062">
      <w:pPr>
        <w:pStyle w:val="ListParagraph"/>
        <w:spacing w:after="0"/>
        <w:jc w:val="both"/>
        <w:rPr>
          <w:rFonts w:eastAsia="Times New Roman"/>
          <w:sz w:val="26"/>
          <w:szCs w:val="26"/>
        </w:rPr>
      </w:pPr>
    </w:p>
    <w:p w:rsidR="000D3062" w:rsidRPr="00187EFF" w:rsidRDefault="000D3062" w:rsidP="000D3062">
      <w:pPr>
        <w:pStyle w:val="ListParagraph"/>
        <w:numPr>
          <w:ilvl w:val="0"/>
          <w:numId w:val="37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187EFF">
        <w:rPr>
          <w:rFonts w:eastAsia="Times New Roman"/>
          <w:b/>
          <w:sz w:val="26"/>
          <w:szCs w:val="26"/>
        </w:rPr>
        <w:t>Европейски модел на ПЗРМ.</w:t>
      </w:r>
    </w:p>
    <w:p w:rsidR="000D3062" w:rsidRDefault="000D3062" w:rsidP="000D3062">
      <w:pPr>
        <w:pStyle w:val="ListParagraph"/>
        <w:spacing w:after="0"/>
        <w:ind w:left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Основни черти на Европейския модел на ПЗРМ са:</w:t>
      </w:r>
    </w:p>
    <w:p w:rsidR="000D3062" w:rsidRPr="00175D0A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75D0A">
        <w:rPr>
          <w:rFonts w:eastAsia="Times New Roman"/>
          <w:sz w:val="26"/>
          <w:szCs w:val="26"/>
        </w:rPr>
        <w:t>Интегриране на въпросите за здравето на персонала в процесите на вземане на управленски решения във фирмата. Активно участие на работниците във фирмата.</w:t>
      </w:r>
    </w:p>
    <w:p w:rsidR="000D3062" w:rsidRPr="00175D0A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75D0A">
        <w:rPr>
          <w:rFonts w:eastAsia="Times New Roman"/>
          <w:sz w:val="26"/>
          <w:szCs w:val="26"/>
        </w:rPr>
        <w:t>Опазването на здравето на работещите е приоритетно задължение и израз на социална отговорност.</w:t>
      </w:r>
    </w:p>
    <w:p w:rsidR="000D3062" w:rsidRPr="00175D0A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75D0A">
        <w:rPr>
          <w:rFonts w:eastAsia="Times New Roman"/>
          <w:sz w:val="26"/>
          <w:szCs w:val="26"/>
        </w:rPr>
        <w:t>Стремеж към задоволяване нуждите на работниците и техните семейства.</w:t>
      </w:r>
    </w:p>
    <w:p w:rsidR="000D3062" w:rsidRPr="00175D0A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75D0A">
        <w:rPr>
          <w:rFonts w:eastAsia="Times New Roman"/>
          <w:sz w:val="26"/>
          <w:szCs w:val="26"/>
        </w:rPr>
        <w:t>Финансовият успех на фирмата зависи от здравето и безопасната работа на работниците. ПЗРМ е ключ към успеха и стабилността на фирмата. Стандартите за качествена и безопасна работа и насоките за социално и здравно благополучие се залагат в колективния трудов договор.</w:t>
      </w:r>
    </w:p>
    <w:p w:rsidR="000D3062" w:rsidRPr="00175D0A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75D0A">
        <w:rPr>
          <w:rFonts w:eastAsia="Times New Roman"/>
          <w:sz w:val="26"/>
          <w:szCs w:val="26"/>
        </w:rPr>
        <w:t>Стремеж към опазване и защита на околната среда. Дейностите на фирмата не трябва да вредят на никого. Да се работи на принципа „да е добре за всички“</w:t>
      </w:r>
    </w:p>
    <w:p w:rsidR="000D3062" w:rsidRPr="00187EFF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87EFF">
        <w:rPr>
          <w:rFonts w:eastAsia="Times New Roman"/>
          <w:sz w:val="26"/>
          <w:szCs w:val="26"/>
        </w:rPr>
        <w:t>По-доброто здраве е предпоставка за добро качество.</w:t>
      </w:r>
    </w:p>
    <w:p w:rsidR="000D3062" w:rsidRPr="00187EFF" w:rsidRDefault="000D3062" w:rsidP="000D3062">
      <w:pPr>
        <w:pStyle w:val="ListParagraph"/>
        <w:numPr>
          <w:ilvl w:val="0"/>
          <w:numId w:val="40"/>
        </w:numPr>
        <w:spacing w:after="0"/>
        <w:jc w:val="both"/>
        <w:rPr>
          <w:rFonts w:eastAsia="Times New Roman"/>
          <w:sz w:val="26"/>
          <w:szCs w:val="26"/>
        </w:rPr>
      </w:pPr>
      <w:r w:rsidRPr="00187EFF">
        <w:rPr>
          <w:rFonts w:eastAsia="Times New Roman"/>
          <w:sz w:val="26"/>
          <w:szCs w:val="26"/>
        </w:rPr>
        <w:lastRenderedPageBreak/>
        <w:t>Стремеж към съкращаване на управленческата йерархия чрез система за сътрудничество, основана на преговори и екипи, поемащи отговорност за самоорганизация и самоконтрол.</w:t>
      </w:r>
    </w:p>
    <w:p w:rsidR="000D3062" w:rsidRPr="00D32B5F" w:rsidRDefault="000D3062" w:rsidP="000D3062">
      <w:pPr>
        <w:pStyle w:val="ListParagraph"/>
        <w:spacing w:after="0"/>
        <w:jc w:val="both"/>
        <w:rPr>
          <w:rFonts w:eastAsia="Times New Roman"/>
          <w:sz w:val="26"/>
          <w:szCs w:val="26"/>
        </w:rPr>
      </w:pPr>
    </w:p>
    <w:p w:rsidR="000D3062" w:rsidRPr="00187EFF" w:rsidRDefault="000D3062" w:rsidP="000D3062">
      <w:pPr>
        <w:pStyle w:val="ListParagraph"/>
        <w:numPr>
          <w:ilvl w:val="0"/>
          <w:numId w:val="37"/>
        </w:numPr>
        <w:spacing w:after="0"/>
        <w:jc w:val="both"/>
        <w:rPr>
          <w:rFonts w:eastAsia="Times New Roman"/>
          <w:b/>
          <w:sz w:val="26"/>
          <w:szCs w:val="26"/>
        </w:rPr>
      </w:pPr>
      <w:r w:rsidRPr="00187EFF">
        <w:rPr>
          <w:rFonts w:eastAsia="Times New Roman"/>
          <w:b/>
          <w:sz w:val="26"/>
          <w:szCs w:val="26"/>
        </w:rPr>
        <w:t>Положителни ефекти от осъществяване на здравнопромотивни дейности на работното място</w:t>
      </w:r>
    </w:p>
    <w:p w:rsidR="000D3062" w:rsidRPr="00187EFF" w:rsidRDefault="000D3062" w:rsidP="000D3062">
      <w:pPr>
        <w:jc w:val="both"/>
        <w:rPr>
          <w:rFonts w:ascii="Calibri" w:hAnsi="Calibri"/>
          <w:sz w:val="26"/>
          <w:szCs w:val="26"/>
        </w:rPr>
      </w:pPr>
      <w:r w:rsidRPr="00187EFF">
        <w:rPr>
          <w:rFonts w:ascii="Calibri" w:hAnsi="Calibri"/>
          <w:sz w:val="26"/>
          <w:szCs w:val="26"/>
        </w:rPr>
        <w:t>Осъществяването на здравнопромотивни дейности, съответстващи на реалните потребности на работещите е свързано с чувство за удовлетворение и води до редица положителни резултати: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Отчетена е повишена производителност и качество на продукцията и дейностите, повишен самоконтрол, и намаляване на брака (отпадъците)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Повишеното внимание при изпълняване на професионалните задължения и дисциплина при използване на личните предпазни средства води до снижаване броя на трудовите злополуки, професионалните заболявания и случаите на намалена или загубена трудоспособност. Това от своя страна намалява разходи</w:t>
      </w:r>
      <w:r>
        <w:rPr>
          <w:rFonts w:eastAsia="Times New Roman"/>
          <w:sz w:val="26"/>
          <w:szCs w:val="26"/>
        </w:rPr>
        <w:t>те</w:t>
      </w:r>
      <w:r w:rsidRPr="00B464FD">
        <w:rPr>
          <w:rFonts w:eastAsia="Times New Roman"/>
          <w:sz w:val="26"/>
          <w:szCs w:val="26"/>
        </w:rPr>
        <w:t xml:space="preserve"> за лечение и застраховане.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Осъзнаване от работниците на съществуващите професионални рискове за здравето и имуществото и придобиване на умения за предотвратяване на вредни ефекти.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Повишаване активността на служителите по предлагане и прилагане на идеи за подобрения в технологията, качеството, здравето и безопасността при работа.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Подобрен имидж и повишена конкурентноспособност на фирмата, което повишава мотивацията за работа и намалява загубите поради текучество.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Подобрени условия на труд и организация на работа -  добра служебна атмосфера, удовлетвореност от работата, ясно формулирани цели и области на отговорност, преодоляна монотонност, внесено разнообразие в работата.</w:t>
      </w:r>
    </w:p>
    <w:p w:rsidR="000D3062" w:rsidRPr="00F91729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Стремеж към личностно усъвършенстване - п</w:t>
      </w:r>
      <w:r w:rsidRPr="00B464FD">
        <w:rPr>
          <w:rFonts w:eastAsia="Times New Roman"/>
          <w:sz w:val="26"/>
          <w:szCs w:val="26"/>
        </w:rPr>
        <w:t>одобрени комуникативни умения и умения за работа в екип.</w:t>
      </w:r>
      <w:r>
        <w:rPr>
          <w:rFonts w:eastAsia="Times New Roman"/>
          <w:sz w:val="26"/>
          <w:szCs w:val="26"/>
        </w:rPr>
        <w:t xml:space="preserve"> </w:t>
      </w:r>
      <w:r w:rsidRPr="00F91729">
        <w:rPr>
          <w:rFonts w:eastAsia="Times New Roman"/>
          <w:sz w:val="26"/>
          <w:szCs w:val="26"/>
        </w:rPr>
        <w:t>Нагласи за позитивно мислене, колективен дух и солидарност. Повишен морал, честност, уважение, почтеност и желание за оказване на помощ.</w:t>
      </w:r>
    </w:p>
    <w:p w:rsidR="000D3062" w:rsidRPr="00B464FD" w:rsidRDefault="000D3062" w:rsidP="000D3062">
      <w:pPr>
        <w:pStyle w:val="ListParagraph"/>
        <w:numPr>
          <w:ilvl w:val="0"/>
          <w:numId w:val="39"/>
        </w:numPr>
        <w:spacing w:after="0"/>
        <w:jc w:val="both"/>
        <w:rPr>
          <w:rFonts w:eastAsia="Times New Roman"/>
          <w:sz w:val="26"/>
          <w:szCs w:val="26"/>
        </w:rPr>
      </w:pPr>
      <w:r w:rsidRPr="00B464FD">
        <w:rPr>
          <w:rFonts w:eastAsia="Times New Roman"/>
          <w:sz w:val="26"/>
          <w:szCs w:val="26"/>
        </w:rPr>
        <w:t>Повишена информираност по здравни въпроси. Подобрено здравно самосъ</w:t>
      </w:r>
      <w:r>
        <w:rPr>
          <w:rFonts w:eastAsia="Times New Roman"/>
          <w:sz w:val="26"/>
          <w:szCs w:val="26"/>
        </w:rPr>
        <w:t>знание и намаляване броя и дела</w:t>
      </w:r>
      <w:r w:rsidRPr="00B464FD">
        <w:rPr>
          <w:rFonts w:eastAsia="Times New Roman"/>
          <w:sz w:val="26"/>
          <w:szCs w:val="26"/>
        </w:rPr>
        <w:t xml:space="preserve"> на лицата с вредни за здравето поведенчески характеристики.</w:t>
      </w: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BA" w:rsidRDefault="007B50BA">
      <w:r>
        <w:separator/>
      </w:r>
    </w:p>
  </w:endnote>
  <w:endnote w:type="continuationSeparator" w:id="0">
    <w:p w:rsidR="007B50BA" w:rsidRDefault="007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CE17D4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CE17D4">
      <w:rPr>
        <w:rStyle w:val="PageNumber"/>
        <w:bCs/>
        <w:i/>
        <w:noProof/>
        <w:sz w:val="22"/>
        <w:szCs w:val="22"/>
      </w:rPr>
      <w:t>5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CE17D4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CE17D4">
      <w:rPr>
        <w:rStyle w:val="PageNumber"/>
        <w:bCs/>
        <w:i/>
        <w:noProof/>
        <w:sz w:val="22"/>
        <w:szCs w:val="22"/>
      </w:rPr>
      <w:t>5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BA" w:rsidRDefault="007B50BA">
      <w:r>
        <w:separator/>
      </w:r>
    </w:p>
  </w:footnote>
  <w:footnote w:type="continuationSeparator" w:id="0">
    <w:p w:rsidR="007B50BA" w:rsidRDefault="007B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7B50BA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49379382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7B50BA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CE17D4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ACE"/>
    <w:multiLevelType w:val="hybridMultilevel"/>
    <w:tmpl w:val="923C82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B97"/>
    <w:multiLevelType w:val="hybridMultilevel"/>
    <w:tmpl w:val="264ED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F3417"/>
    <w:multiLevelType w:val="hybridMultilevel"/>
    <w:tmpl w:val="3C16ABA6"/>
    <w:lvl w:ilvl="0" w:tplc="978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15E13"/>
    <w:multiLevelType w:val="hybridMultilevel"/>
    <w:tmpl w:val="ED2A24A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92BCC"/>
    <w:multiLevelType w:val="hybridMultilevel"/>
    <w:tmpl w:val="DF02E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5F5"/>
    <w:multiLevelType w:val="hybridMultilevel"/>
    <w:tmpl w:val="2B76A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405"/>
    <w:multiLevelType w:val="hybridMultilevel"/>
    <w:tmpl w:val="E47C06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80B89"/>
    <w:multiLevelType w:val="hybridMultilevel"/>
    <w:tmpl w:val="8D101B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71BBC"/>
    <w:multiLevelType w:val="hybridMultilevel"/>
    <w:tmpl w:val="504A7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421728C"/>
    <w:multiLevelType w:val="hybridMultilevel"/>
    <w:tmpl w:val="8A08E0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4A95761C"/>
    <w:multiLevelType w:val="hybridMultilevel"/>
    <w:tmpl w:val="E612D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66851"/>
    <w:multiLevelType w:val="hybridMultilevel"/>
    <w:tmpl w:val="1DE0629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E5406"/>
    <w:multiLevelType w:val="hybridMultilevel"/>
    <w:tmpl w:val="5E6A81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2187B"/>
    <w:multiLevelType w:val="hybridMultilevel"/>
    <w:tmpl w:val="AD260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6552C"/>
    <w:multiLevelType w:val="hybridMultilevel"/>
    <w:tmpl w:val="ED1AB5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0D10E64"/>
    <w:multiLevelType w:val="hybridMultilevel"/>
    <w:tmpl w:val="D30E3C3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5AF1423"/>
    <w:multiLevelType w:val="hybridMultilevel"/>
    <w:tmpl w:val="82403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21F35"/>
    <w:multiLevelType w:val="hybridMultilevel"/>
    <w:tmpl w:val="B8CAA9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C3A83"/>
    <w:multiLevelType w:val="hybridMultilevel"/>
    <w:tmpl w:val="215AF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6E4C6C"/>
    <w:multiLevelType w:val="hybridMultilevel"/>
    <w:tmpl w:val="4372F7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6"/>
  </w:num>
  <w:num w:numId="4">
    <w:abstractNumId w:val="5"/>
  </w:num>
  <w:num w:numId="5">
    <w:abstractNumId w:val="28"/>
  </w:num>
  <w:num w:numId="6">
    <w:abstractNumId w:val="8"/>
  </w:num>
  <w:num w:numId="7">
    <w:abstractNumId w:val="16"/>
  </w:num>
  <w:num w:numId="8">
    <w:abstractNumId w:val="29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9"/>
  </w:num>
  <w:num w:numId="15">
    <w:abstractNumId w:val="24"/>
  </w:num>
  <w:num w:numId="16">
    <w:abstractNumId w:val="33"/>
  </w:num>
  <w:num w:numId="17">
    <w:abstractNumId w:val="18"/>
  </w:num>
  <w:num w:numId="18">
    <w:abstractNumId w:val="3"/>
  </w:num>
  <w:num w:numId="19">
    <w:abstractNumId w:val="13"/>
  </w:num>
  <w:num w:numId="20">
    <w:abstractNumId w:val="0"/>
  </w:num>
  <w:num w:numId="21">
    <w:abstractNumId w:val="34"/>
  </w:num>
  <w:num w:numId="22">
    <w:abstractNumId w:val="32"/>
  </w:num>
  <w:num w:numId="23">
    <w:abstractNumId w:val="15"/>
  </w:num>
  <w:num w:numId="24">
    <w:abstractNumId w:val="17"/>
  </w:num>
  <w:num w:numId="25">
    <w:abstractNumId w:val="11"/>
  </w:num>
  <w:num w:numId="26">
    <w:abstractNumId w:val="20"/>
  </w:num>
  <w:num w:numId="27">
    <w:abstractNumId w:val="2"/>
  </w:num>
  <w:num w:numId="28">
    <w:abstractNumId w:val="19"/>
  </w:num>
  <w:num w:numId="29">
    <w:abstractNumId w:val="10"/>
  </w:num>
  <w:num w:numId="30">
    <w:abstractNumId w:val="1"/>
  </w:num>
  <w:num w:numId="31">
    <w:abstractNumId w:val="12"/>
  </w:num>
  <w:num w:numId="32">
    <w:abstractNumId w:val="14"/>
  </w:num>
  <w:num w:numId="33">
    <w:abstractNumId w:val="31"/>
  </w:num>
  <w:num w:numId="34">
    <w:abstractNumId w:val="21"/>
  </w:num>
  <w:num w:numId="35">
    <w:abstractNumId w:val="23"/>
  </w:num>
  <w:num w:numId="36">
    <w:abstractNumId w:val="22"/>
  </w:num>
  <w:num w:numId="37">
    <w:abstractNumId w:val="25"/>
  </w:num>
  <w:num w:numId="38">
    <w:abstractNumId w:val="4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50780"/>
    <w:rsid w:val="00065634"/>
    <w:rsid w:val="00066D53"/>
    <w:rsid w:val="00090E8C"/>
    <w:rsid w:val="000A32C9"/>
    <w:rsid w:val="000B536C"/>
    <w:rsid w:val="000C1043"/>
    <w:rsid w:val="000D3062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21E94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111DC"/>
    <w:rsid w:val="00735F24"/>
    <w:rsid w:val="007412D4"/>
    <w:rsid w:val="00772ADB"/>
    <w:rsid w:val="007767C4"/>
    <w:rsid w:val="0078673C"/>
    <w:rsid w:val="007A255F"/>
    <w:rsid w:val="007B50BA"/>
    <w:rsid w:val="007E2FA3"/>
    <w:rsid w:val="00802391"/>
    <w:rsid w:val="00806454"/>
    <w:rsid w:val="008141CA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06B64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75A11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E17D4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6717E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0E36D-A788-4478-893D-6746033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21E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25</cp:revision>
  <cp:lastPrinted>2014-05-17T18:52:00Z</cp:lastPrinted>
  <dcterms:created xsi:type="dcterms:W3CDTF">2013-10-30T08:34:00Z</dcterms:created>
  <dcterms:modified xsi:type="dcterms:W3CDTF">2017-02-23T16:23:00Z</dcterms:modified>
</cp:coreProperties>
</file>