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82" w:rsidRDefault="006A1B82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  <w:bookmarkStart w:id="0" w:name="_GoBack"/>
      <w:bookmarkEnd w:id="0"/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D33F02" w:rsidRPr="006A1B82" w:rsidRDefault="00D33F02" w:rsidP="008C03D9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6A1B82">
        <w:rPr>
          <w:rFonts w:ascii="Times New Roman" w:hAnsi="Times New Roman"/>
          <w:b/>
          <w:caps/>
          <w:sz w:val="30"/>
          <w:szCs w:val="30"/>
        </w:rPr>
        <w:t>КАТЕДРА „</w:t>
      </w:r>
      <w:r w:rsidR="00E2033E">
        <w:rPr>
          <w:rFonts w:ascii="Times New Roman" w:hAnsi="Times New Roman"/>
          <w:b/>
          <w:caps/>
          <w:sz w:val="30"/>
          <w:szCs w:val="30"/>
        </w:rPr>
        <w:t>ОБЩЕСТВЕНОЗДРАВНИ НАУКИ</w:t>
      </w:r>
      <w:r w:rsidR="006A1B82">
        <w:rPr>
          <w:rFonts w:ascii="Times New Roman" w:hAnsi="Times New Roman"/>
          <w:b/>
          <w:caps/>
          <w:sz w:val="30"/>
          <w:szCs w:val="30"/>
        </w:rPr>
        <w:t>”</w:t>
      </w: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A10F7" w:rsidRPr="005A56B0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A1B82">
        <w:rPr>
          <w:rFonts w:ascii="Times New Roman" w:hAnsi="Times New Roman"/>
          <w:b/>
          <w:caps/>
          <w:sz w:val="32"/>
          <w:szCs w:val="32"/>
        </w:rPr>
        <w:t xml:space="preserve">ЛЕКЦИЯ </w:t>
      </w:r>
      <w:r w:rsidR="008A0544" w:rsidRPr="006A1B82">
        <w:rPr>
          <w:rFonts w:ascii="Times New Roman" w:hAnsi="Times New Roman"/>
          <w:b/>
          <w:caps/>
          <w:sz w:val="32"/>
          <w:szCs w:val="32"/>
        </w:rPr>
        <w:t xml:space="preserve">№ </w:t>
      </w:r>
      <w:r w:rsidR="00E2033E">
        <w:rPr>
          <w:rFonts w:ascii="Times New Roman" w:hAnsi="Times New Roman"/>
          <w:b/>
          <w:caps/>
          <w:sz w:val="32"/>
          <w:szCs w:val="32"/>
        </w:rPr>
        <w:t>1</w:t>
      </w:r>
    </w:p>
    <w:p w:rsidR="00FC26DE" w:rsidRDefault="00FC26DE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27074" w:rsidRPr="00D33F02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33F02">
        <w:rPr>
          <w:rFonts w:ascii="Times New Roman" w:hAnsi="Times New Roman"/>
          <w:b/>
          <w:caps/>
          <w:sz w:val="26"/>
          <w:szCs w:val="26"/>
        </w:rPr>
        <w:t xml:space="preserve">ЗА ДИСТАНЦИОННА САМОПОДГОТОВКА </w:t>
      </w:r>
      <w:r w:rsidR="00BE1122" w:rsidRPr="00D33F02">
        <w:rPr>
          <w:rFonts w:ascii="Times New Roman" w:hAnsi="Times New Roman"/>
          <w:b/>
          <w:caps/>
          <w:sz w:val="26"/>
          <w:szCs w:val="26"/>
        </w:rPr>
        <w:t>по учебна дисциплина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F8B">
        <w:rPr>
          <w:rFonts w:ascii="Times New Roman" w:hAnsi="Times New Roman"/>
          <w:b/>
          <w:caps/>
          <w:szCs w:val="24"/>
        </w:rPr>
        <w:t>„</w:t>
      </w:r>
      <w:r w:rsidR="00E2033E">
        <w:rPr>
          <w:rFonts w:ascii="Times New Roman" w:hAnsi="Times New Roman"/>
          <w:b/>
          <w:caps/>
          <w:szCs w:val="24"/>
        </w:rPr>
        <w:t xml:space="preserve">ЗДРАВЕ НА МИГРАНТИТЕ И МАЛЦИНСТВАТА </w:t>
      </w:r>
      <w:r w:rsidRPr="004A4F8B">
        <w:rPr>
          <w:rFonts w:ascii="Times New Roman" w:hAnsi="Times New Roman"/>
          <w:b/>
          <w:caps/>
          <w:sz w:val="28"/>
          <w:szCs w:val="28"/>
        </w:rPr>
        <w:t>”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A1B82" w:rsidRPr="00B263A9" w:rsidRDefault="00BE1122" w:rsidP="00B263A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05C4">
        <w:rPr>
          <w:rFonts w:ascii="Times New Roman" w:hAnsi="Times New Roman"/>
          <w:b/>
          <w:caps/>
          <w:sz w:val="28"/>
          <w:szCs w:val="28"/>
        </w:rPr>
        <w:t xml:space="preserve">ЗА СТУДЕНТИ ОТ 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СПециалност „</w:t>
      </w:r>
      <w:r w:rsidR="00E2033E">
        <w:rPr>
          <w:rFonts w:ascii="Times New Roman" w:hAnsi="Times New Roman"/>
          <w:b/>
          <w:caps/>
          <w:sz w:val="28"/>
          <w:szCs w:val="28"/>
        </w:rPr>
        <w:t>ОБЩЕСТВЕНО ЗДРАВЕ И ЗДРАВЕН МЕНИДЖМЪНТ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AF6B7E" w:rsidRDefault="00AF6B7E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84A20" w:rsidRDefault="00684A20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9A10F7" w:rsidRPr="000C1043" w:rsidRDefault="006A1B82" w:rsidP="000C1043">
      <w:pPr>
        <w:spacing w:line="360" w:lineRule="auto"/>
        <w:ind w:left="349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>
        <w:rPr>
          <w:rFonts w:ascii="Times New Roman" w:hAnsi="Times New Roman"/>
          <w:b/>
          <w:caps/>
        </w:rPr>
        <w:t>ТЕМА</w:t>
      </w:r>
      <w:r w:rsidR="000C1043" w:rsidRPr="000C1043">
        <w:rPr>
          <w:rFonts w:ascii="Trebuchet MS" w:hAnsi="Trebuchet MS"/>
          <w:b/>
        </w:rPr>
        <w:t xml:space="preserve"> </w:t>
      </w:r>
      <w:r w:rsidR="000C1043">
        <w:rPr>
          <w:rFonts w:ascii="Trebuchet MS" w:hAnsi="Trebuchet MS"/>
          <w:b/>
          <w:lang w:val="en-US"/>
        </w:rPr>
        <w:t xml:space="preserve">: </w:t>
      </w:r>
      <w:r w:rsidR="00E2033E" w:rsidRPr="00E2033E">
        <w:rPr>
          <w:rFonts w:ascii="Times New Roman" w:hAnsi="Times New Roman"/>
          <w:b/>
          <w:sz w:val="28"/>
          <w:szCs w:val="28"/>
        </w:rPr>
        <w:t>Миграцията като световен процес. Фази на процеса на мигр</w:t>
      </w:r>
      <w:r w:rsidR="00E2033E" w:rsidRPr="00E2033E">
        <w:rPr>
          <w:rFonts w:ascii="Times New Roman" w:hAnsi="Times New Roman"/>
          <w:b/>
          <w:sz w:val="28"/>
          <w:szCs w:val="28"/>
        </w:rPr>
        <w:t>а</w:t>
      </w:r>
      <w:r w:rsidR="00E2033E" w:rsidRPr="00E2033E">
        <w:rPr>
          <w:rFonts w:ascii="Times New Roman" w:hAnsi="Times New Roman"/>
          <w:b/>
          <w:sz w:val="28"/>
          <w:szCs w:val="28"/>
        </w:rPr>
        <w:t>ция.</w:t>
      </w: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84A20" w:rsidRDefault="00684A20" w:rsidP="00684A20">
      <w:pPr>
        <w:spacing w:line="360" w:lineRule="auto"/>
        <w:rPr>
          <w:rFonts w:ascii="Times New Roman" w:hAnsi="Times New Roman"/>
          <w:b/>
          <w:caps/>
        </w:rPr>
      </w:pPr>
    </w:p>
    <w:p w:rsidR="00802391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A1B82" w:rsidRPr="00E2033E" w:rsidRDefault="006A1B82" w:rsidP="00802391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 xml:space="preserve">РАЗРАБОТИЛ: </w:t>
      </w:r>
      <w:r w:rsidR="00E2033E">
        <w:rPr>
          <w:rFonts w:ascii="Times New Roman" w:hAnsi="Times New Roman"/>
          <w:b/>
          <w:caps/>
        </w:rPr>
        <w:t>доц. д-р Мариела камбурова, дм</w:t>
      </w: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5A56B0" w:rsidRDefault="005A56B0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5A56B0" w:rsidRDefault="005A56B0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8A0544" w:rsidRDefault="008A0544" w:rsidP="00AA504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BE7E9A" w:rsidRDefault="000C1043" w:rsidP="00BE7E9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</w:t>
      </w:r>
      <w:r w:rsidR="005A56B0">
        <w:rPr>
          <w:rFonts w:ascii="Times New Roman" w:hAnsi="Times New Roman"/>
          <w:b/>
          <w:caps/>
          <w:lang w:val="en-US"/>
        </w:rPr>
        <w:t>7</w:t>
      </w:r>
      <w:r w:rsidR="00BE7E9A">
        <w:rPr>
          <w:rFonts w:ascii="Times New Roman" w:hAnsi="Times New Roman"/>
          <w:b/>
          <w:caps/>
        </w:rPr>
        <w:t xml:space="preserve"> </w:t>
      </w:r>
      <w:r w:rsidR="00BE7E9A">
        <w:rPr>
          <w:rFonts w:ascii="Times New Roman" w:hAnsi="Times New Roman"/>
          <w:b/>
        </w:rPr>
        <w:t>год</w:t>
      </w:r>
      <w:r w:rsidR="00BE7E9A">
        <w:rPr>
          <w:rFonts w:ascii="Times New Roman" w:hAnsi="Times New Roman"/>
          <w:b/>
          <w:caps/>
        </w:rPr>
        <w:t>.</w:t>
      </w:r>
    </w:p>
    <w:p w:rsidR="00BE7E9A" w:rsidRDefault="00BE7E9A" w:rsidP="00BE7E9A">
      <w:pPr>
        <w:jc w:val="both"/>
        <w:rPr>
          <w:rFonts w:ascii="Trebuchet MS" w:hAnsi="Trebuchet MS"/>
          <w:b/>
          <w:lang w:val="en-US"/>
        </w:rPr>
      </w:pPr>
    </w:p>
    <w:p w:rsidR="00E2033E" w:rsidRPr="00E2033E" w:rsidRDefault="00E2033E" w:rsidP="00E2033E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МИГРАЦИЯТА КАТО СВЕТОВЕН ПРОЦЕС. </w:t>
      </w:r>
    </w:p>
    <w:p w:rsidR="00E2033E" w:rsidRPr="00E2033E" w:rsidRDefault="00E2033E" w:rsidP="00E2033E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ФАЗИ НА ПРОЦЕСА НА МИГРАЦИЯ.</w:t>
      </w:r>
    </w:p>
    <w:p w:rsidR="00E2033E" w:rsidRPr="00E2033E" w:rsidRDefault="00E2033E" w:rsidP="00E2033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i/>
          <w:sz w:val="28"/>
          <w:szCs w:val="28"/>
          <w:lang w:eastAsia="en-US"/>
        </w:rPr>
        <w:t>Цел на лекцията</w:t>
      </w:r>
    </w:p>
    <w:p w:rsidR="00E2033E" w:rsidRPr="00E2033E" w:rsidRDefault="00E2033E" w:rsidP="00E2033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Да запознае аудиторията със същността на миграцията като постоянен процес, основните термини</w:t>
      </w:r>
      <w:r w:rsidRPr="00E2033E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и водещите причини за миграция на хората.</w:t>
      </w:r>
    </w:p>
    <w:p w:rsidR="00E2033E" w:rsidRPr="00E2033E" w:rsidRDefault="00E2033E" w:rsidP="00E2033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i/>
          <w:sz w:val="28"/>
          <w:szCs w:val="28"/>
          <w:lang w:eastAsia="en-US"/>
        </w:rPr>
        <w:t>1. Основни понятия</w:t>
      </w:r>
    </w:p>
    <w:p w:rsidR="00E2033E" w:rsidRPr="00E2033E" w:rsidRDefault="00E2033E" w:rsidP="00E2033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Миграция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- Движение на дадено лице или група лица през международна граница или в рамките на една държава. Това е движението на населението, която обхваща всякакъв вид движение на хора, независимо от неговата дълж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на, състав и причини; тя включва миграция на бежанци, разселени лица, ик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номически </w:t>
      </w:r>
      <w:proofErr w:type="spellStart"/>
      <w:r w:rsidRPr="00E2033E">
        <w:rPr>
          <w:rFonts w:ascii="Times New Roman" w:eastAsia="Calibri" w:hAnsi="Times New Roman"/>
          <w:sz w:val="28"/>
          <w:szCs w:val="28"/>
          <w:lang w:eastAsia="en-US"/>
        </w:rPr>
        <w:t>мигранти</w:t>
      </w:r>
      <w:proofErr w:type="spellEnd"/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и лица, движещи се и за други цели, включително съб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ране на семейството.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E2033E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042CC8D" wp14:editId="6DADFEEF">
            <wp:extent cx="5760720" cy="43306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szCs w:val="24"/>
          <w:lang w:eastAsia="en-US"/>
        </w:rPr>
      </w:pPr>
      <w:r w:rsidRPr="00E2033E">
        <w:rPr>
          <w:rFonts w:ascii="Times New Roman" w:eastAsia="Calibri" w:hAnsi="Times New Roman"/>
          <w:b/>
          <w:szCs w:val="24"/>
          <w:lang w:eastAsia="en-US"/>
        </w:rPr>
        <w:t xml:space="preserve">Фиг. 1 </w:t>
      </w:r>
      <w:r w:rsidRPr="00E2033E">
        <w:rPr>
          <w:rFonts w:ascii="Times New Roman" w:eastAsia="Calibri" w:hAnsi="Times New Roman"/>
          <w:b/>
          <w:i/>
          <w:szCs w:val="24"/>
          <w:lang w:eastAsia="en-US"/>
        </w:rPr>
        <w:t>Видове миграция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Емиграция: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Акт на заминаване или излизане на лицето от една държава с о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лед да се установи да живее в друга.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Имиграция: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процес, при който граждани на друга държава влизат и се движат в една страна, с цел да се установят в нея.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Мигрант</w:t>
      </w:r>
      <w:proofErr w:type="spellEnd"/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Международната организация за миграция </w:t>
      </w:r>
      <w:r w:rsidRPr="00E2033E">
        <w:rPr>
          <w:rFonts w:ascii="Times New Roman" w:eastAsia="Calibri" w:hAnsi="Times New Roman"/>
          <w:sz w:val="28"/>
          <w:szCs w:val="28"/>
          <w:lang w:val="en-US" w:eastAsia="en-US"/>
        </w:rPr>
        <w:t>(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МОМ</w:t>
      </w:r>
      <w:r w:rsidRPr="00E2033E">
        <w:rPr>
          <w:rFonts w:ascii="Times New Roman" w:eastAsia="Calibri" w:hAnsi="Times New Roman"/>
          <w:sz w:val="28"/>
          <w:szCs w:val="28"/>
          <w:lang w:val="en-US" w:eastAsia="en-US"/>
        </w:rPr>
        <w:t>)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определя като всяко лице, което се движи или е преместено през международна граница или в рамките на една държава далеч от неговото / нейното обичайно място на пребиваване, независимо от: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(1) правен статут на лицето; 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(2) дали движението е доброволно или принудително; 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(3) какви са причините за движението;  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(4) каква е продължителността на престоя.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Бежанец: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Лице, което "благодарение на основателен страх от преследване по причина на раса, религия, националност, принадлежност към определена с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циална група или политически убеждения, се намира извън страната, чийто гражданин е и не е в състояние или поради такива опасения, не желае да се ползва от закрилата на тази страна. (чл. 1 (A) (2), конвенция за статута на б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жанците, чл. 1А (2), 1951, изменена с протокол от 1967 г.). в 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Освен определението за бежанец в конвенция 1951 за бежанците, чл. 1 (2) от 1969 г. организацията за африканско единство (ОАЕ) конвенция опред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ля бежанец като всяко лице, принудено да напусне страната си "поради вън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ш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на агресия, окупация, чуждо владичество или събития, които  сериозно нар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шават обществения ред или застрашават произхода или националността му. "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Картахена Декларацията от 1984 г. посочва, че бежанците също вклю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ч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ват лица, които избягат от страната си, "защото животът им, сигурността или свободата им са застрашени от генерализирано насилие, чужда агресия, въ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решни конфликти, масови нарушения на правата на човека или други обсто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телства, които сериозно нарушават обществения ред."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Лице, търсещо убежище: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лице, което има за цел безопасност от преследване или тежки посегателства в страна, различна от неговата собствена, и очаква решение по молбата за статут на бежанец по силата на съответните междун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родни и национални инструменти. В случай на отрицателно решение, лицето трябва да напусне страната, освен ако разрешение за пребиваване се предост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вя по хуманитарни или други свързани с тях основания.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Вътрешно разселени хора: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лица или групи от лица, които са били принудени да бягат или да напуснат домовете си, или местата на обичайно пребиваване, по-специално в резултат на или с цел да се избегнат ефектите от въоръжени конфликти, ситуации на генерализирано насилие, нарушения на правата на ч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века или природни или предизвикани от човека бедствия, и които не са прем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нали международно призната държавна граница. 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Презаселване</w:t>
      </w:r>
      <w:proofErr w:type="spellEnd"/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Преместването и интеграция на хората (бежанци, вътрешно разселените лица и т.н.) в друга географска област и околната среда, обикн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вено в трета страна. В контекста на бежанец, прехвърляне на бежанци от стр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ната, в която те са потърсили убежище в друга държава, която се е съгласил да ги приеме. На бежанците обикновено ще бъде предоставено убежище или н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каква друга форма на дългосрочни права и в много случаи, ще им се предост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ви възможност да бъдат натурализирани.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Ксенофобия: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На международно ниво няма универсална дефиниция, но се описва като нагласи, предразсъдъци и поведение, които отхвърлят, изключват и често клеветят лица, основани на схващането, че те са външни лица или чужденци в общността, обществото или националната идентичност. Същес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вува тясна връзка между расизма и ксенофобията, две характеристики, които е трудно да се разграничат една от друга.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i/>
          <w:sz w:val="28"/>
          <w:szCs w:val="28"/>
          <w:lang w:eastAsia="en-US"/>
        </w:rPr>
        <w:t>2. Фази на миграцията</w:t>
      </w:r>
    </w:p>
    <w:p w:rsidR="00E2033E" w:rsidRPr="00E2033E" w:rsidRDefault="00E2033E" w:rsidP="00E2033E">
      <w:pPr>
        <w:numPr>
          <w:ilvl w:val="1"/>
          <w:numId w:val="21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Тръгване – от страна на произход </w:t>
      </w:r>
    </w:p>
    <w:p w:rsidR="00E2033E" w:rsidRPr="00E2033E" w:rsidRDefault="00E2033E" w:rsidP="00E2033E">
      <w:pPr>
        <w:numPr>
          <w:ilvl w:val="1"/>
          <w:numId w:val="21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Пътуване – транзитно преминаване през една или повече държави </w:t>
      </w:r>
    </w:p>
    <w:p w:rsidR="00E2033E" w:rsidRPr="00E2033E" w:rsidRDefault="00E2033E" w:rsidP="00E2033E">
      <w:pPr>
        <w:numPr>
          <w:ilvl w:val="1"/>
          <w:numId w:val="21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Пристигане – в страна, цел на миграцията</w:t>
      </w:r>
    </w:p>
    <w:p w:rsidR="00E2033E" w:rsidRPr="00E2033E" w:rsidRDefault="00E2033E" w:rsidP="00E2033E">
      <w:pPr>
        <w:numPr>
          <w:ilvl w:val="1"/>
          <w:numId w:val="21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Прекъсване</w:t>
      </w:r>
      <w:r w:rsidRPr="00E2033E">
        <w:rPr>
          <w:rFonts w:ascii="Times New Roman" w:eastAsia="Calibri" w:hAnsi="Times New Roman"/>
          <w:sz w:val="28"/>
          <w:szCs w:val="28"/>
          <w:lang w:val="en-US" w:eastAsia="en-US"/>
        </w:rPr>
        <w:t xml:space="preserve"> (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потенциално</w:t>
      </w:r>
      <w:r w:rsidRPr="00E2033E">
        <w:rPr>
          <w:rFonts w:ascii="Times New Roman" w:eastAsia="Calibri" w:hAnsi="Times New Roman"/>
          <w:sz w:val="28"/>
          <w:szCs w:val="28"/>
          <w:lang w:val="en-US" w:eastAsia="en-US"/>
        </w:rPr>
        <w:t>)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– и връщане основно в страната на пр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изход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2BE00C9" wp14:editId="2E310260">
            <wp:extent cx="5762561" cy="3495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szCs w:val="24"/>
          <w:lang w:eastAsia="en-US"/>
        </w:rPr>
      </w:pPr>
      <w:r w:rsidRPr="00E2033E">
        <w:rPr>
          <w:rFonts w:ascii="Times New Roman" w:eastAsia="Calibri" w:hAnsi="Times New Roman"/>
          <w:b/>
          <w:szCs w:val="24"/>
          <w:lang w:eastAsia="en-US"/>
        </w:rPr>
        <w:t xml:space="preserve">Фиг. 2 </w:t>
      </w:r>
      <w:r w:rsidRPr="00E2033E">
        <w:rPr>
          <w:rFonts w:ascii="Times New Roman" w:eastAsia="Calibri" w:hAnsi="Times New Roman"/>
          <w:b/>
          <w:i/>
          <w:szCs w:val="24"/>
          <w:lang w:eastAsia="en-US"/>
        </w:rPr>
        <w:t>Фази на миграцията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0"/>
          <w:lang w:eastAsia="en-US"/>
        </w:rPr>
      </w:pPr>
      <w:proofErr w:type="spellStart"/>
      <w:r w:rsidRPr="00E2033E">
        <w:rPr>
          <w:rFonts w:ascii="Times New Roman" w:eastAsia="Calibri" w:hAnsi="Times New Roman"/>
          <w:sz w:val="20"/>
          <w:lang w:eastAsia="en-US"/>
        </w:rPr>
        <w:lastRenderedPageBreak/>
        <w:t>Изт</w:t>
      </w:r>
      <w:proofErr w:type="spellEnd"/>
      <w:r w:rsidRPr="00E2033E">
        <w:rPr>
          <w:rFonts w:ascii="Times New Roman" w:eastAsia="Calibri" w:hAnsi="Times New Roman"/>
          <w:sz w:val="20"/>
          <w:lang w:eastAsia="en-US"/>
        </w:rPr>
        <w:t xml:space="preserve">. </w:t>
      </w:r>
      <w:r w:rsidRPr="00E2033E">
        <w:rPr>
          <w:rFonts w:ascii="Times New Roman" w:eastAsia="Calibri" w:hAnsi="Times New Roman"/>
          <w:sz w:val="20"/>
          <w:lang w:val="en-US" w:eastAsia="en-US"/>
        </w:rPr>
        <w:t>Zimmerman C, Kiss L, Hossain M (2011) Migration and Health: A Framework for 21st Century Policy-Making. PLOS Medicine 8(5): e1001034. doi:10.1371/journal.pmed.1001034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i/>
          <w:sz w:val="28"/>
          <w:szCs w:val="28"/>
          <w:lang w:eastAsia="en-US"/>
        </w:rPr>
        <w:t>3. Причини за миграцията</w:t>
      </w:r>
    </w:p>
    <w:p w:rsidR="00E2033E" w:rsidRPr="00E2033E" w:rsidRDefault="00E2033E" w:rsidP="00E2033E">
      <w:pPr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Глобализация</w:t>
      </w:r>
    </w:p>
    <w:p w:rsidR="00E2033E" w:rsidRPr="00E2033E" w:rsidRDefault="00E2033E" w:rsidP="00E2033E">
      <w:pPr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Застаряване на населението</w:t>
      </w:r>
    </w:p>
    <w:p w:rsidR="00E2033E" w:rsidRPr="00E2033E" w:rsidRDefault="00E2033E" w:rsidP="00E2033E">
      <w:pPr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Недостиг на умения</w:t>
      </w:r>
    </w:p>
    <w:p w:rsidR="00E2033E" w:rsidRPr="00E2033E" w:rsidRDefault="00E2033E" w:rsidP="00E2033E">
      <w:pPr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Политики за приемане в държавите на високо и нискоквалифицирана р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ботна ръка</w:t>
      </w:r>
    </w:p>
    <w:p w:rsidR="00E2033E" w:rsidRPr="00E2033E" w:rsidRDefault="00E2033E" w:rsidP="00E2033E">
      <w:pPr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По-добри здравна и социална система</w:t>
      </w:r>
    </w:p>
    <w:p w:rsidR="00E2033E" w:rsidRPr="00E2033E" w:rsidRDefault="00E2033E" w:rsidP="00E2033E">
      <w:pPr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Конфликти – военни</w:t>
      </w:r>
    </w:p>
    <w:p w:rsidR="00E2033E" w:rsidRPr="00E2033E" w:rsidRDefault="00E2033E" w:rsidP="00E2033E">
      <w:pPr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Катастрофи – екологични, икономически</w:t>
      </w:r>
    </w:p>
    <w:p w:rsidR="00E2033E" w:rsidRPr="00E2033E" w:rsidRDefault="00E2033E" w:rsidP="00E2033E">
      <w:pPr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Неравенства и др.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  <w:t>4</w:t>
      </w:r>
      <w:r w:rsidRPr="00E2033E">
        <w:rPr>
          <w:rFonts w:ascii="Times New Roman" w:eastAsia="Calibri" w:hAnsi="Times New Roman"/>
          <w:b/>
          <w:i/>
          <w:sz w:val="28"/>
          <w:szCs w:val="28"/>
          <w:lang w:eastAsia="en-US"/>
        </w:rPr>
        <w:t>. Нетна имиграция в световен мащаб</w:t>
      </w:r>
    </w:p>
    <w:p w:rsidR="00E2033E" w:rsidRPr="00E2033E" w:rsidRDefault="00E2033E" w:rsidP="00E2033E">
      <w:pPr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Региони с най-висока нетна имиграцията са Северна Америка, Западна Европа и Близкия изток. </w:t>
      </w:r>
    </w:p>
    <w:p w:rsidR="00E2033E" w:rsidRPr="00E2033E" w:rsidRDefault="00E2033E" w:rsidP="00E2033E">
      <w:pPr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Заедно тези три региона поемат 79,5% от световната нетната имиграция.</w:t>
      </w:r>
    </w:p>
    <w:p w:rsidR="00E2033E" w:rsidRPr="00E2033E" w:rsidRDefault="00E2033E" w:rsidP="00E2033E">
      <w:pPr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Само в САЩ живеят 37,1% от всички нетни имигранти.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  <w:t>5</w:t>
      </w:r>
      <w:r w:rsidRPr="00E2033E">
        <w:rPr>
          <w:rFonts w:ascii="Times New Roman" w:eastAsia="Calibri" w:hAnsi="Times New Roman"/>
          <w:b/>
          <w:i/>
          <w:sz w:val="28"/>
          <w:szCs w:val="28"/>
          <w:lang w:eastAsia="en-US"/>
        </w:rPr>
        <w:t>. Методология за изследване на миграцията в България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Методология и основни понятия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Обект на изследване в демографската статистика са съвкупностите на демографските събития и съвкупностите на населението.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При изследване на миграцията се наблюдава съвкупността на лицата, променили обичайното си местоживеене (настоящ адрес). Събитията се реги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трират в момента на тяхното настъпване и формират съответните </w:t>
      </w:r>
      <w:proofErr w:type="spellStart"/>
      <w:r w:rsidRPr="00E2033E">
        <w:rPr>
          <w:rFonts w:ascii="Times New Roman" w:eastAsia="Calibri" w:hAnsi="Times New Roman"/>
          <w:sz w:val="28"/>
          <w:szCs w:val="28"/>
          <w:lang w:eastAsia="en-US"/>
        </w:rPr>
        <w:t>периодни</w:t>
      </w:r>
      <w:proofErr w:type="spellEnd"/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съвкупности за определен обхват от време. За текущата демографска статист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ка този обхват е една календарна година.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Обичайно местоживеене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означава мястото, където едно лице обикнов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но прекарва дневния период на почивка, независимо от временните отсъствия поради почивка, ваканция, посещения при приятели и роднини, работа, мед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цинско лечение или религиозно поклонение.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Миграция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означава промяна на обичайното местоживеене на лицето.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Миграцията е </w:t>
      </w: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вътрешна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, когато лицето сменя обичайното си местоживеене в страната и </w:t>
      </w: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външна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, когато лицето сменя обичайното си местоживеене от страната в чужбина или от чужбина в страната.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В контекста на вътрешната миграция, </w:t>
      </w: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заселване/изселване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означава действие, чрез което дадено лице променя своето обичайно местоживеене от едно в др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го населено място на територията на страната за период, който е или се очаква да бъде най-малко дванадесет месеца.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Имиграция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означава действието, чрез което дадено лице установява своето обичайно местоживеене в България за период, който е или се очаква да бъде най-малко дванадесет месеца, като преди това лицето е пребивавало об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чайно в друга държава.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Емиграция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означава действието, чрез което лице, което преди е преб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вавало обичайно на територията на България, преустанови обичайното си пр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биваване в България за период, който е или се очаква да бъде най-малко дв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найсет месеца.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Възрастта на мигриралите лица се изчислява в навършени години въз основа на датата на раждане на лицето и датата на събитието миграция.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Основни показатели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Броят на заселените и изселените лица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представлява фактическия к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личествен размер на тези съвкупности.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Механичният прираст на населението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в териториален аспект пред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тавлява разликата между броя на заселените и броя на изселените лица във и от всяко населено място. От 2007 г. Механичният прираст е резултат, както от вътрешната, така и от външната миграция.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Нетният коефициент на миграция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представлява отношението на не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ната миграция към средногодишното население за съответната година.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Териториално разпределение и източници на данни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При статистическата обработка на данните за миграцията, мигриралите лица са разпределени в регионален аспект според административно-териториалното деление на страната към 31.12. на съответната година (населени места, общ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ни, области) по „настоящ адрес”. Това е адресът, който отговаря на докуме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тално заявеното местоживеене на лицето.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>Източници на данните за външната миграция са: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2033E" w:rsidRPr="00E2033E" w:rsidRDefault="00E2033E" w:rsidP="00E2033E">
      <w:pPr>
        <w:numPr>
          <w:ilvl w:val="0"/>
          <w:numId w:val="2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Единната система за гражданска регистрация и административно об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лужване на населението образец ЕСГРАОН - ТДС: адресна карта за промяна на настоящ адрес; </w:t>
      </w:r>
    </w:p>
    <w:p w:rsidR="00E2033E" w:rsidRPr="00E2033E" w:rsidRDefault="00E2033E" w:rsidP="00E2033E">
      <w:pPr>
        <w:numPr>
          <w:ilvl w:val="0"/>
          <w:numId w:val="2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Националната агенция за приходите; </w:t>
      </w:r>
    </w:p>
    <w:p w:rsidR="00E2033E" w:rsidRPr="00E2033E" w:rsidRDefault="00E2033E" w:rsidP="00E2033E">
      <w:pPr>
        <w:numPr>
          <w:ilvl w:val="0"/>
          <w:numId w:val="2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Национален осигурителен институт; </w:t>
      </w:r>
    </w:p>
    <w:p w:rsidR="00E2033E" w:rsidRPr="00E2033E" w:rsidRDefault="00E2033E" w:rsidP="00E2033E">
      <w:pPr>
        <w:numPr>
          <w:ilvl w:val="0"/>
          <w:numId w:val="2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Министерство на вътрешните работи; </w:t>
      </w:r>
    </w:p>
    <w:p w:rsidR="00E2033E" w:rsidRPr="00E2033E" w:rsidRDefault="00E2033E" w:rsidP="00E2033E">
      <w:pPr>
        <w:numPr>
          <w:ilvl w:val="0"/>
          <w:numId w:val="2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Оценки на емиграционните потоци.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Данните за постоянно пребиваващите чужди граждани и граждани на ЕС в България са получени въз основа на издадените </w:t>
      </w:r>
      <w:r w:rsidRPr="00E2033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разрешения за постоянно пребиваване на чужди граждани </w:t>
      </w:r>
      <w:r w:rsidRPr="00E2033E">
        <w:rPr>
          <w:rFonts w:ascii="Times New Roman" w:eastAsia="Calibri" w:hAnsi="Times New Roman"/>
          <w:sz w:val="28"/>
          <w:szCs w:val="28"/>
          <w:lang w:eastAsia="en-US"/>
        </w:rPr>
        <w:t xml:space="preserve">на територията на страната и регистрацията на граждани на ЕС. </w:t>
      </w:r>
    </w:p>
    <w:p w:rsidR="00E2033E" w:rsidRPr="00E2033E" w:rsidRDefault="00E2033E" w:rsidP="00E2033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E2033E">
        <w:rPr>
          <w:rFonts w:ascii="Times New Roman" w:eastAsia="Calibri" w:hAnsi="Times New Roman"/>
          <w:sz w:val="28"/>
          <w:szCs w:val="28"/>
          <w:lang w:eastAsia="en-US"/>
        </w:rPr>
        <w:t>Източник на данните за постоянно пребиваващите чужди граждани в страната е Министерство на вътрешните работи</w:t>
      </w:r>
    </w:p>
    <w:p w:rsidR="008C03D9" w:rsidRDefault="008C03D9" w:rsidP="00684A20">
      <w:pPr>
        <w:spacing w:after="120"/>
        <w:rPr>
          <w:rFonts w:ascii="Trebuchet MS" w:hAnsi="Trebuchet MS"/>
          <w:b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684A20" w:rsidRPr="008C03D9" w:rsidRDefault="00684A20" w:rsidP="008C03D9">
      <w:pPr>
        <w:jc w:val="right"/>
        <w:rPr>
          <w:rFonts w:ascii="Trebuchet MS" w:hAnsi="Trebuchet MS"/>
          <w:sz w:val="20"/>
          <w:lang w:val="ru-RU"/>
        </w:rPr>
      </w:pPr>
    </w:p>
    <w:sectPr w:rsidR="00684A20" w:rsidRPr="008C03D9" w:rsidSect="008C03D9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33" w:bottom="567" w:left="124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17" w:rsidRDefault="00C76017">
      <w:r>
        <w:separator/>
      </w:r>
    </w:p>
  </w:endnote>
  <w:endnote w:type="continuationSeparator" w:id="0">
    <w:p w:rsidR="00C76017" w:rsidRDefault="00C7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50" w:rsidRDefault="000B536C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50" w:rsidRPr="008C03D9" w:rsidRDefault="008C03D9" w:rsidP="008C03D9">
    <w:pPr>
      <w:pStyle w:val="Footer"/>
      <w:framePr w:w="2427" w:wrap="around" w:vAnchor="text" w:hAnchor="page" w:x="8318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="000B536C" w:rsidRPr="008C03D9">
      <w:rPr>
        <w:rStyle w:val="PageNumber"/>
        <w:i/>
        <w:sz w:val="22"/>
        <w:szCs w:val="22"/>
      </w:rPr>
      <w:fldChar w:fldCharType="begin"/>
    </w:r>
    <w:r w:rsidR="00382550" w:rsidRPr="008C03D9">
      <w:rPr>
        <w:rStyle w:val="PageNumber"/>
        <w:i/>
        <w:sz w:val="22"/>
        <w:szCs w:val="22"/>
      </w:rPr>
      <w:instrText xml:space="preserve">PAGE  </w:instrText>
    </w:r>
    <w:r w:rsidR="000B536C" w:rsidRPr="008C03D9">
      <w:rPr>
        <w:rStyle w:val="PageNumber"/>
        <w:i/>
        <w:sz w:val="22"/>
        <w:szCs w:val="22"/>
      </w:rPr>
      <w:fldChar w:fldCharType="separate"/>
    </w:r>
    <w:r w:rsidR="003E4BA7">
      <w:rPr>
        <w:rStyle w:val="PageNumber"/>
        <w:i/>
        <w:noProof/>
        <w:sz w:val="22"/>
        <w:szCs w:val="22"/>
      </w:rPr>
      <w:t>7</w:t>
    </w:r>
    <w:r w:rsidR="000B536C"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3E4BA7">
      <w:rPr>
        <w:rStyle w:val="PageNumber"/>
        <w:bCs/>
        <w:i/>
        <w:noProof/>
        <w:sz w:val="22"/>
        <w:szCs w:val="22"/>
      </w:rPr>
      <w:t>7</w:t>
    </w:r>
    <w:r w:rsidRPr="008C03D9">
      <w:rPr>
        <w:rStyle w:val="PageNumber"/>
        <w:bCs/>
        <w:i/>
        <w:sz w:val="22"/>
        <w:szCs w:val="22"/>
      </w:rPr>
      <w:fldChar w:fldCharType="end"/>
    </w:r>
    <w:r w:rsidR="00382550"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382550" w:rsidRDefault="00382550" w:rsidP="008C03D9">
    <w:pPr>
      <w:pStyle w:val="Footer"/>
      <w:pBdr>
        <w:top w:val="double" w:sz="4" w:space="1" w:color="auto"/>
      </w:pBdr>
      <w:tabs>
        <w:tab w:val="clear" w:pos="9072"/>
        <w:tab w:val="right" w:pos="0"/>
      </w:tabs>
      <w:ind w:right="56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3D9" w:rsidRPr="008C03D9" w:rsidRDefault="008C03D9" w:rsidP="008C03D9">
    <w:pPr>
      <w:pStyle w:val="Footer"/>
      <w:framePr w:w="2427" w:wrap="around" w:vAnchor="text" w:hAnchor="page" w:x="8370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Pr="008C03D9">
      <w:rPr>
        <w:rStyle w:val="PageNumber"/>
        <w:i/>
        <w:sz w:val="22"/>
        <w:szCs w:val="22"/>
      </w:rPr>
      <w:fldChar w:fldCharType="begin"/>
    </w:r>
    <w:r w:rsidRPr="008C03D9">
      <w:rPr>
        <w:rStyle w:val="PageNumber"/>
        <w:i/>
        <w:sz w:val="22"/>
        <w:szCs w:val="22"/>
      </w:rPr>
      <w:instrText xml:space="preserve">PAGE  </w:instrText>
    </w:r>
    <w:r w:rsidRPr="008C03D9">
      <w:rPr>
        <w:rStyle w:val="PageNumber"/>
        <w:i/>
        <w:sz w:val="22"/>
        <w:szCs w:val="22"/>
      </w:rPr>
      <w:fldChar w:fldCharType="separate"/>
    </w:r>
    <w:r w:rsidR="003E4BA7">
      <w:rPr>
        <w:rStyle w:val="PageNumber"/>
        <w:i/>
        <w:noProof/>
        <w:sz w:val="22"/>
        <w:szCs w:val="22"/>
      </w:rPr>
      <w:t>1</w:t>
    </w:r>
    <w:r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3E4BA7">
      <w:rPr>
        <w:rStyle w:val="PageNumber"/>
        <w:bCs/>
        <w:i/>
        <w:noProof/>
        <w:sz w:val="22"/>
        <w:szCs w:val="22"/>
      </w:rPr>
      <w:t>7</w:t>
    </w:r>
    <w:r w:rsidRPr="008C03D9">
      <w:rPr>
        <w:rStyle w:val="PageNumber"/>
        <w:bCs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8C03D9" w:rsidRDefault="008C03D9" w:rsidP="008C03D9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17" w:rsidRDefault="00C76017">
      <w:r>
        <w:separator/>
      </w:r>
    </w:p>
  </w:footnote>
  <w:footnote w:type="continuationSeparator" w:id="0">
    <w:p w:rsidR="00C76017" w:rsidRDefault="00C76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50" w:rsidRDefault="000B536C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50" w:rsidRPr="009D398B" w:rsidRDefault="00C76017" w:rsidP="000A32C9">
    <w:pPr>
      <w:overflowPunct/>
      <w:autoSpaceDE/>
      <w:autoSpaceDN/>
      <w:adjustRightInd/>
      <w:jc w:val="center"/>
      <w:textAlignment w:val="auto"/>
      <w:rPr>
        <w:rFonts w:ascii="Times New Roman" w:hAnsi="Times New Roman"/>
        <w:b/>
        <w:sz w:val="32"/>
        <w:szCs w:val="32"/>
        <w:lang w:val="ru-RU" w:eastAsia="en-US"/>
      </w:rPr>
    </w:pPr>
    <w:r>
      <w:rPr>
        <w:b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14.75pt;margin-top:-2.6pt;width:60pt;height:61.3pt;z-index:251658752">
          <v:imagedata r:id="rId1" o:title=""/>
        </v:shape>
        <o:OLEObject Type="Embed" ProgID="CorelDRAW.Graphic.10" ShapeID="_x0000_s2064" DrawAspect="Content" ObjectID="_1574833205" r:id="rId2"/>
      </w:pict>
    </w:r>
    <w:r w:rsidR="00C251F2">
      <w:rPr>
        <w:rFonts w:ascii="Times New Roman" w:hAnsi="Times New Roman"/>
        <w:b/>
        <w:noProof/>
        <w:szCs w:val="24"/>
      </w:rPr>
      <w:drawing>
        <wp:anchor distT="0" distB="0" distL="114300" distR="114300" simplePos="0" relativeHeight="251656704" behindDoc="0" locked="0" layoutInCell="1" allowOverlap="1" wp14:anchorId="35F50DDD" wp14:editId="152194E1">
          <wp:simplePos x="0" y="0"/>
          <wp:positionH relativeFrom="column">
            <wp:posOffset>7536815</wp:posOffset>
          </wp:positionH>
          <wp:positionV relativeFrom="paragraph">
            <wp:posOffset>-259080</wp:posOffset>
          </wp:positionV>
          <wp:extent cx="925830" cy="607060"/>
          <wp:effectExtent l="0" t="0" r="7620" b="2540"/>
          <wp:wrapNone/>
          <wp:docPr id="8" name="Picture 8" descr="ESF_logo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F_logo_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МЕДИЦИНСКИ УНИВЕРСИТЕТ – ПЛЕВЕН</w:t>
    </w:r>
  </w:p>
  <w:p w:rsidR="00382550" w:rsidRPr="009D398B" w:rsidRDefault="00C251F2" w:rsidP="00B263A9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 w:eastAsia="en-US"/>
      </w:rPr>
    </w:pPr>
    <w:r>
      <w:rPr>
        <w:rFonts w:ascii="Times New Roman" w:hAnsi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593B0E" wp14:editId="2E3B4E38">
              <wp:simplePos x="0" y="0"/>
              <wp:positionH relativeFrom="column">
                <wp:posOffset>882015</wp:posOffset>
              </wp:positionH>
              <wp:positionV relativeFrom="paragraph">
                <wp:posOffset>267335</wp:posOffset>
              </wp:positionV>
              <wp:extent cx="4277995" cy="0"/>
              <wp:effectExtent l="15240" t="10160" r="12065" b="889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77995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21.05pt" to="406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" strokeweight="1.25pt">
              <v:stroke linestyle="thickThin"/>
            </v:line>
          </w:pict>
        </mc:Fallback>
      </mc:AlternateConten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ФАКУЛТЕТ „</w:t>
    </w:r>
    <w:r w:rsidR="003E4BA7">
      <w:rPr>
        <w:rFonts w:ascii="Times New Roman" w:hAnsi="Times New Roman"/>
        <w:b/>
        <w:sz w:val="32"/>
        <w:szCs w:val="32"/>
        <w:lang w:eastAsia="en-US"/>
      </w:rPr>
      <w:t>ОБЩЕСТВЕНО ЗДРАВЕ</w: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”</w:t>
    </w:r>
  </w:p>
  <w:p w:rsidR="00382550" w:rsidRPr="009D398B" w:rsidRDefault="00382550" w:rsidP="00B263A9">
    <w:pPr>
      <w:overflowPunct/>
      <w:autoSpaceDE/>
      <w:autoSpaceDN/>
      <w:adjustRightInd/>
      <w:spacing w:line="360" w:lineRule="auto"/>
      <w:jc w:val="center"/>
      <w:textAlignment w:val="auto"/>
      <w:rPr>
        <w:rFonts w:ascii="Times New Roman" w:hAnsi="Times New Roman"/>
        <w:b/>
        <w:sz w:val="32"/>
        <w:szCs w:val="32"/>
        <w:lang w:eastAsia="en-US"/>
      </w:rPr>
    </w:pPr>
    <w:r w:rsidRPr="009D398B">
      <w:rPr>
        <w:rFonts w:ascii="Times New Roman" w:hAnsi="Times New Roman"/>
        <w:b/>
        <w:sz w:val="32"/>
        <w:szCs w:val="32"/>
        <w:lang w:eastAsia="en-US"/>
      </w:rPr>
      <w:t>ЦЕНТЪР ЗА ДИСТАНЦИОННО ОБУЧЕНИЕ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C44"/>
    <w:multiLevelType w:val="hybridMultilevel"/>
    <w:tmpl w:val="5ACA59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E0EC6"/>
    <w:multiLevelType w:val="hybridMultilevel"/>
    <w:tmpl w:val="E452A8DC"/>
    <w:lvl w:ilvl="0" w:tplc="C89245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F0B53"/>
    <w:multiLevelType w:val="hybridMultilevel"/>
    <w:tmpl w:val="3536CE06"/>
    <w:lvl w:ilvl="0" w:tplc="34CCE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A70F6B"/>
    <w:multiLevelType w:val="hybridMultilevel"/>
    <w:tmpl w:val="F0CA325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A41EA9"/>
    <w:multiLevelType w:val="hybridMultilevel"/>
    <w:tmpl w:val="CBF8625C"/>
    <w:lvl w:ilvl="0" w:tplc="DD40A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40C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ED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8A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AF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47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A9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14E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344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0">
    <w:nsid w:val="440D633A"/>
    <w:multiLevelType w:val="hybridMultilevel"/>
    <w:tmpl w:val="D938C1B4"/>
    <w:lvl w:ilvl="0" w:tplc="B360D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E8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47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78B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295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5E1A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2A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C4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2E4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CE5234"/>
    <w:multiLevelType w:val="multilevel"/>
    <w:tmpl w:val="27E834F6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5E356679"/>
    <w:multiLevelType w:val="hybridMultilevel"/>
    <w:tmpl w:val="B482643E"/>
    <w:lvl w:ilvl="0" w:tplc="0402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3">
    <w:nsid w:val="68794A85"/>
    <w:multiLevelType w:val="hybridMultilevel"/>
    <w:tmpl w:val="06C27C04"/>
    <w:lvl w:ilvl="0" w:tplc="058AE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40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40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83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68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2E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8E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385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CB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8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"/>
  </w:num>
  <w:num w:numId="5">
    <w:abstractNumId w:val="16"/>
  </w:num>
  <w:num w:numId="6">
    <w:abstractNumId w:val="5"/>
  </w:num>
  <w:num w:numId="7">
    <w:abstractNumId w:val="9"/>
  </w:num>
  <w:num w:numId="8">
    <w:abstractNumId w:val="17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6"/>
  </w:num>
  <w:num w:numId="15">
    <w:abstractNumId w:val="12"/>
  </w:num>
  <w:num w:numId="16">
    <w:abstractNumId w:val="18"/>
  </w:num>
  <w:num w:numId="17">
    <w:abstractNumId w:val="11"/>
  </w:num>
  <w:num w:numId="18">
    <w:abstractNumId w:val="1"/>
  </w:num>
  <w:num w:numId="19">
    <w:abstractNumId w:val="8"/>
  </w:num>
  <w:num w:numId="20">
    <w:abstractNumId w:val="0"/>
  </w:num>
  <w:num w:numId="21">
    <w:abstractNumId w:val="7"/>
  </w:num>
  <w:num w:numId="22">
    <w:abstractNumId w:val="13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35557"/>
    <w:rsid w:val="000356E8"/>
    <w:rsid w:val="00065634"/>
    <w:rsid w:val="00066D53"/>
    <w:rsid w:val="00090E8C"/>
    <w:rsid w:val="000A32C9"/>
    <w:rsid w:val="000B536C"/>
    <w:rsid w:val="000C1043"/>
    <w:rsid w:val="000E768F"/>
    <w:rsid w:val="00120924"/>
    <w:rsid w:val="00135F16"/>
    <w:rsid w:val="001674CD"/>
    <w:rsid w:val="0019226A"/>
    <w:rsid w:val="001C25D8"/>
    <w:rsid w:val="001C59D4"/>
    <w:rsid w:val="0023047D"/>
    <w:rsid w:val="002358E3"/>
    <w:rsid w:val="002448A3"/>
    <w:rsid w:val="002471EA"/>
    <w:rsid w:val="002516AE"/>
    <w:rsid w:val="0025293A"/>
    <w:rsid w:val="00253F76"/>
    <w:rsid w:val="0027545E"/>
    <w:rsid w:val="002757CF"/>
    <w:rsid w:val="002B7796"/>
    <w:rsid w:val="002D2153"/>
    <w:rsid w:val="002D2FE5"/>
    <w:rsid w:val="002E72ED"/>
    <w:rsid w:val="0030589D"/>
    <w:rsid w:val="00334F12"/>
    <w:rsid w:val="003368F5"/>
    <w:rsid w:val="00376BB8"/>
    <w:rsid w:val="00382550"/>
    <w:rsid w:val="003A0696"/>
    <w:rsid w:val="003B3C72"/>
    <w:rsid w:val="003E4BA7"/>
    <w:rsid w:val="003E659E"/>
    <w:rsid w:val="004415F2"/>
    <w:rsid w:val="00476E88"/>
    <w:rsid w:val="004A4F8B"/>
    <w:rsid w:val="00560157"/>
    <w:rsid w:val="00585239"/>
    <w:rsid w:val="005A5526"/>
    <w:rsid w:val="005A56B0"/>
    <w:rsid w:val="005E5218"/>
    <w:rsid w:val="005F3FBA"/>
    <w:rsid w:val="00630AB9"/>
    <w:rsid w:val="00636C5E"/>
    <w:rsid w:val="006553C6"/>
    <w:rsid w:val="00680BB6"/>
    <w:rsid w:val="0068407A"/>
    <w:rsid w:val="00684A20"/>
    <w:rsid w:val="006A1B82"/>
    <w:rsid w:val="006E1993"/>
    <w:rsid w:val="00701892"/>
    <w:rsid w:val="00701921"/>
    <w:rsid w:val="00735F24"/>
    <w:rsid w:val="007412D4"/>
    <w:rsid w:val="00772ADB"/>
    <w:rsid w:val="007767C4"/>
    <w:rsid w:val="0078673C"/>
    <w:rsid w:val="007A255F"/>
    <w:rsid w:val="007E2FA3"/>
    <w:rsid w:val="00802391"/>
    <w:rsid w:val="00806454"/>
    <w:rsid w:val="00822DCE"/>
    <w:rsid w:val="00864798"/>
    <w:rsid w:val="0086736C"/>
    <w:rsid w:val="00876210"/>
    <w:rsid w:val="00897D83"/>
    <w:rsid w:val="008A0544"/>
    <w:rsid w:val="008A14E3"/>
    <w:rsid w:val="008A2EF4"/>
    <w:rsid w:val="008C03D9"/>
    <w:rsid w:val="008C51B8"/>
    <w:rsid w:val="008F656B"/>
    <w:rsid w:val="008F7F3B"/>
    <w:rsid w:val="009246C1"/>
    <w:rsid w:val="00947077"/>
    <w:rsid w:val="009831AB"/>
    <w:rsid w:val="009A10F7"/>
    <w:rsid w:val="009D398B"/>
    <w:rsid w:val="009D6AC4"/>
    <w:rsid w:val="00A34BF8"/>
    <w:rsid w:val="00A55C2F"/>
    <w:rsid w:val="00A64971"/>
    <w:rsid w:val="00A67CC0"/>
    <w:rsid w:val="00A74D63"/>
    <w:rsid w:val="00AA504A"/>
    <w:rsid w:val="00AA70B7"/>
    <w:rsid w:val="00AD2DB2"/>
    <w:rsid w:val="00AD7B48"/>
    <w:rsid w:val="00AE7C0D"/>
    <w:rsid w:val="00AF6B7E"/>
    <w:rsid w:val="00B16472"/>
    <w:rsid w:val="00B263A9"/>
    <w:rsid w:val="00B37B35"/>
    <w:rsid w:val="00BC0A79"/>
    <w:rsid w:val="00BE1122"/>
    <w:rsid w:val="00BE7E9A"/>
    <w:rsid w:val="00BF45B6"/>
    <w:rsid w:val="00C05BB2"/>
    <w:rsid w:val="00C251F2"/>
    <w:rsid w:val="00C27074"/>
    <w:rsid w:val="00C319C2"/>
    <w:rsid w:val="00C76017"/>
    <w:rsid w:val="00C811FA"/>
    <w:rsid w:val="00C93516"/>
    <w:rsid w:val="00CA5A31"/>
    <w:rsid w:val="00CD56B3"/>
    <w:rsid w:val="00CF7EDD"/>
    <w:rsid w:val="00D12449"/>
    <w:rsid w:val="00D33F02"/>
    <w:rsid w:val="00D453C4"/>
    <w:rsid w:val="00D57098"/>
    <w:rsid w:val="00D60A1E"/>
    <w:rsid w:val="00D70EA4"/>
    <w:rsid w:val="00D87ADD"/>
    <w:rsid w:val="00DF3ED6"/>
    <w:rsid w:val="00E2033E"/>
    <w:rsid w:val="00E23CE9"/>
    <w:rsid w:val="00E505C4"/>
    <w:rsid w:val="00E6403F"/>
    <w:rsid w:val="00E664B0"/>
    <w:rsid w:val="00E7617D"/>
    <w:rsid w:val="00EC7E9B"/>
    <w:rsid w:val="00EE2660"/>
    <w:rsid w:val="00EE44F4"/>
    <w:rsid w:val="00F06491"/>
    <w:rsid w:val="00F11DEB"/>
    <w:rsid w:val="00F64C65"/>
    <w:rsid w:val="00F705B8"/>
    <w:rsid w:val="00F72DC6"/>
    <w:rsid w:val="00F83A79"/>
    <w:rsid w:val="00F96917"/>
    <w:rsid w:val="00FA5426"/>
    <w:rsid w:val="00FB6953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Admin</cp:lastModifiedBy>
  <cp:revision>4</cp:revision>
  <cp:lastPrinted>2014-05-17T18:52:00Z</cp:lastPrinted>
  <dcterms:created xsi:type="dcterms:W3CDTF">2017-12-14T10:05:00Z</dcterms:created>
  <dcterms:modified xsi:type="dcterms:W3CDTF">2017-12-15T06:54:00Z</dcterms:modified>
</cp:coreProperties>
</file>